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45C4D" w:rsidRDefault="00B524C6" w:rsidP="002C35D1">
      <w:pPr>
        <w:pStyle w:val="Title"/>
      </w:pPr>
      <w:proofErr w:type="spellStart"/>
      <w:proofErr w:type="gramStart"/>
      <w:r>
        <w:t>iPad</w:t>
      </w:r>
      <w:proofErr w:type="spellEnd"/>
      <w:proofErr w:type="gramEnd"/>
      <w:r>
        <w:t xml:space="preserve"> and Legal Learning (</w:t>
      </w:r>
      <w:proofErr w:type="spellStart"/>
      <w:r w:rsidR="00924AC8">
        <w:t>iLEGALL</w:t>
      </w:r>
      <w:proofErr w:type="spellEnd"/>
      <w:r>
        <w:t>)</w:t>
      </w:r>
    </w:p>
    <w:p w:rsidR="00645C4D" w:rsidRDefault="002C35D1" w:rsidP="00433B7D">
      <w:pPr>
        <w:pStyle w:val="Heading2"/>
      </w:pPr>
      <w:r>
        <w:t>Jonathan Bainbridge, Paul Maharg, Rebecca Mitchell</w:t>
      </w:r>
    </w:p>
    <w:p w:rsidR="004750FE" w:rsidRDefault="004750FE"/>
    <w:p w:rsidR="004750FE" w:rsidRDefault="004750FE"/>
    <w:p w:rsidR="00924AC8" w:rsidRDefault="00924AC8"/>
    <w:p w:rsidR="00774BFB" w:rsidRDefault="0073780B" w:rsidP="00433B7D">
      <w:pPr>
        <w:pStyle w:val="Heading1"/>
      </w:pPr>
      <w:r>
        <w:t>1.</w:t>
      </w:r>
      <w:r>
        <w:tab/>
      </w:r>
      <w:r w:rsidR="003B5C17">
        <w:t xml:space="preserve">Summary of </w:t>
      </w:r>
      <w:proofErr w:type="spellStart"/>
      <w:r w:rsidR="00795672">
        <w:t>iLEGALL</w:t>
      </w:r>
      <w:proofErr w:type="spellEnd"/>
      <w:r w:rsidR="00795672">
        <w:t xml:space="preserve"> </w:t>
      </w:r>
      <w:r w:rsidR="003B5C17">
        <w:t>p</w:t>
      </w:r>
      <w:r w:rsidR="00924AC8">
        <w:t>roject</w:t>
      </w:r>
    </w:p>
    <w:p w:rsidR="00783FAF" w:rsidRPr="00774BFB" w:rsidRDefault="00774BFB" w:rsidP="00433B7D">
      <w:pPr>
        <w:pStyle w:val="Heading2"/>
      </w:pPr>
      <w:r>
        <w:t>Context of mobile learning</w:t>
      </w:r>
    </w:p>
    <w:p w:rsidR="008E09F0" w:rsidRDefault="00A1406F">
      <w:r>
        <w:t>The argument of this study may be postulated in a number of statements</w:t>
      </w:r>
      <w:r w:rsidR="00AF6F63">
        <w:t>:</w:t>
      </w:r>
    </w:p>
    <w:p w:rsidR="00A1406F" w:rsidRDefault="0038714A" w:rsidP="00AE6895">
      <w:pPr>
        <w:pStyle w:val="ListParagraph"/>
        <w:numPr>
          <w:ilvl w:val="0"/>
          <w:numId w:val="3"/>
        </w:numPr>
      </w:pPr>
      <w:r>
        <w:t>Mobile learning abolishes the fixity of place (class, seating) and time (</w:t>
      </w:r>
      <w:proofErr w:type="spellStart"/>
      <w:r>
        <w:t>eg</w:t>
      </w:r>
      <w:proofErr w:type="spellEnd"/>
      <w:r>
        <w:t xml:space="preserve"> lecture envelope) by teacher and institution.  Instead, </w:t>
      </w:r>
      <w:r w:rsidRPr="00AE6895">
        <w:rPr>
          <w:i/>
        </w:rPr>
        <w:t>learne</w:t>
      </w:r>
      <w:r w:rsidR="00FC7FDD">
        <w:rPr>
          <w:i/>
        </w:rPr>
        <w:t>rs</w:t>
      </w:r>
      <w:r w:rsidR="00F20366">
        <w:t xml:space="preserve"> require</w:t>
      </w:r>
      <w:r>
        <w:t xml:space="preserve"> </w:t>
      </w:r>
      <w:proofErr w:type="gramStart"/>
      <w:r>
        <w:t>to establish</w:t>
      </w:r>
      <w:proofErr w:type="gramEnd"/>
      <w:r>
        <w:t xml:space="preserve"> </w:t>
      </w:r>
      <w:r w:rsidR="00B37F83">
        <w:t xml:space="preserve">their </w:t>
      </w:r>
      <w:r>
        <w:t xml:space="preserve">own rhythms according to </w:t>
      </w:r>
      <w:r w:rsidR="00F20366">
        <w:t xml:space="preserve">the needs of </w:t>
      </w:r>
      <w:r>
        <w:t xml:space="preserve">self and social </w:t>
      </w:r>
      <w:r w:rsidR="00F20366">
        <w:t xml:space="preserve">collaborative </w:t>
      </w:r>
      <w:r>
        <w:t>group.</w:t>
      </w:r>
    </w:p>
    <w:p w:rsidR="00AE6895" w:rsidRDefault="00A1406F" w:rsidP="00AE6895">
      <w:pPr>
        <w:pStyle w:val="ListParagraph"/>
        <w:numPr>
          <w:ilvl w:val="0"/>
          <w:numId w:val="3"/>
        </w:numPr>
      </w:pPr>
      <w:r>
        <w:t xml:space="preserve">Context for each learner will thus be significantly different, </w:t>
      </w:r>
      <w:r w:rsidR="00DA342D">
        <w:t>more so than in c</w:t>
      </w:r>
      <w:r w:rsidR="00602890">
        <w:t>onventional f2f education.  Media design</w:t>
      </w:r>
      <w:r>
        <w:t xml:space="preserve"> needs to support distributed learning but also </w:t>
      </w:r>
      <w:r w:rsidR="00B37F83">
        <w:t xml:space="preserve">social learning, as well as </w:t>
      </w:r>
      <w:r>
        <w:t>swift and consistent recognition, recall and rehearsal of learning</w:t>
      </w:r>
      <w:r w:rsidR="00B61601">
        <w:t xml:space="preserve"> on the part of individuals</w:t>
      </w:r>
      <w:r>
        <w:t>.</w:t>
      </w:r>
      <w:r w:rsidR="00F00A91">
        <w:t xml:space="preserve">  </w:t>
      </w:r>
    </w:p>
    <w:p w:rsidR="0038714A" w:rsidRPr="0038714A" w:rsidRDefault="00F00A91" w:rsidP="00AE6895">
      <w:pPr>
        <w:pStyle w:val="ListParagraph"/>
        <w:numPr>
          <w:ilvl w:val="0"/>
          <w:numId w:val="3"/>
        </w:numPr>
      </w:pPr>
      <w:r>
        <w:t>Such</w:t>
      </w:r>
      <w:r w:rsidR="00AE6895">
        <w:t xml:space="preserve"> </w:t>
      </w:r>
      <w:r w:rsidR="00DA342D">
        <w:t xml:space="preserve">layered </w:t>
      </w:r>
      <w:r w:rsidR="00AE6895">
        <w:t>experiential</w:t>
      </w:r>
      <w:r>
        <w:t xml:space="preserve"> context can be </w:t>
      </w:r>
      <w:r w:rsidR="000409C3">
        <w:t>understood</w:t>
      </w:r>
      <w:r>
        <w:t xml:space="preserve"> as </w:t>
      </w:r>
      <w:r w:rsidR="00AE6895">
        <w:t xml:space="preserve">a </w:t>
      </w:r>
      <w:r w:rsidR="000409C3">
        <w:t xml:space="preserve">form of </w:t>
      </w:r>
      <w:r>
        <w:t>music, with its own notation</w:t>
      </w:r>
      <w:r w:rsidR="00AE6895">
        <w:t xml:space="preserve"> – the </w:t>
      </w:r>
      <w:r w:rsidR="00AE6895" w:rsidRPr="00DA342D">
        <w:rPr>
          <w:i/>
        </w:rPr>
        <w:t>inscriptions</w:t>
      </w:r>
      <w:r w:rsidR="00AE6895">
        <w:t xml:space="preserve"> left by learners</w:t>
      </w:r>
      <w:r>
        <w:t xml:space="preserve">.  </w:t>
      </w:r>
    </w:p>
    <w:p w:rsidR="00AF6F63" w:rsidRDefault="00AF6F63" w:rsidP="00AE6895">
      <w:pPr>
        <w:pStyle w:val="ListParagraph"/>
        <w:numPr>
          <w:ilvl w:val="0"/>
          <w:numId w:val="3"/>
        </w:numPr>
      </w:pPr>
      <w:r>
        <w:t xml:space="preserve">Mobile learning will be more social and </w:t>
      </w:r>
      <w:r w:rsidRPr="00DA342D">
        <w:rPr>
          <w:i/>
        </w:rPr>
        <w:t>conversational</w:t>
      </w:r>
      <w:r>
        <w:t xml:space="preserve"> than in other media (</w:t>
      </w:r>
      <w:proofErr w:type="spellStart"/>
      <w:r>
        <w:t>Vavoula</w:t>
      </w:r>
      <w:proofErr w:type="spellEnd"/>
      <w:r>
        <w:t xml:space="preserve"> </w:t>
      </w:r>
      <w:r w:rsidR="00602890">
        <w:rPr>
          <w:i/>
        </w:rPr>
        <w:t xml:space="preserve">et al </w:t>
      </w:r>
      <w:r w:rsidR="00602890">
        <w:t>2009</w:t>
      </w:r>
      <w:r>
        <w:t>)</w:t>
      </w:r>
    </w:p>
    <w:p w:rsidR="00AE6895" w:rsidRDefault="00AF6F63" w:rsidP="00AE6895">
      <w:pPr>
        <w:pStyle w:val="ListParagraph"/>
        <w:numPr>
          <w:ilvl w:val="0"/>
          <w:numId w:val="3"/>
        </w:numPr>
      </w:pPr>
      <w:r>
        <w:t>The ground of the social will not be a separation of mind from social.  Rather, as with Dewey’s instrumental form of learning</w:t>
      </w:r>
      <w:r w:rsidR="005C20B4">
        <w:t xml:space="preserve"> (Dewey 1916)</w:t>
      </w:r>
      <w:r>
        <w:t xml:space="preserve">, </w:t>
      </w:r>
      <w:r w:rsidR="0038714A">
        <w:t>and actor-network theory (</w:t>
      </w:r>
      <w:proofErr w:type="spellStart"/>
      <w:r w:rsidR="0038714A">
        <w:t>Latour</w:t>
      </w:r>
      <w:proofErr w:type="spellEnd"/>
      <w:r w:rsidR="00B61601">
        <w:t xml:space="preserve"> 2005</w:t>
      </w:r>
      <w:r w:rsidR="0038714A">
        <w:t xml:space="preserve">), </w:t>
      </w:r>
      <w:r>
        <w:t xml:space="preserve">construction of learning </w:t>
      </w:r>
      <w:r w:rsidR="00DA342D">
        <w:t xml:space="preserve">in the </w:t>
      </w:r>
      <w:r w:rsidR="00DA342D" w:rsidRPr="00DA342D">
        <w:rPr>
          <w:i/>
        </w:rPr>
        <w:t>social environment</w:t>
      </w:r>
      <w:r w:rsidR="00DA342D">
        <w:t xml:space="preserve"> </w:t>
      </w:r>
      <w:r>
        <w:t xml:space="preserve">will be </w:t>
      </w:r>
      <w:r w:rsidRPr="00DA342D">
        <w:t>inseparable</w:t>
      </w:r>
      <w:r>
        <w:t xml:space="preserve"> from our construction of the social.</w:t>
      </w:r>
    </w:p>
    <w:p w:rsidR="0038714A" w:rsidRDefault="00DA342D" w:rsidP="00AE6895">
      <w:pPr>
        <w:pStyle w:val="ListParagraph"/>
        <w:numPr>
          <w:ilvl w:val="0"/>
          <w:numId w:val="3"/>
        </w:numPr>
      </w:pPr>
      <w:r>
        <w:t>A key</w:t>
      </w:r>
      <w:r w:rsidR="00AE6895">
        <w:t xml:space="preserve"> problem for any technology-suppo</w:t>
      </w:r>
      <w:r>
        <w:t xml:space="preserve">rted mobile environment is </w:t>
      </w:r>
      <w:r w:rsidR="00AE6895">
        <w:t xml:space="preserve">how to </w:t>
      </w:r>
      <w:r w:rsidR="00B37F83">
        <w:t>facilitate</w:t>
      </w:r>
      <w:r w:rsidR="00AE6895">
        <w:t xml:space="preserve"> inscriptions, conversations and social environment such that learners can immerse in</w:t>
      </w:r>
      <w:r w:rsidR="00B61601">
        <w:t xml:space="preserve"> tasks that enable transactional </w:t>
      </w:r>
      <w:r w:rsidR="00AE6895">
        <w:t>learning</w:t>
      </w:r>
      <w:r w:rsidR="00B61601">
        <w:t xml:space="preserve"> (</w:t>
      </w:r>
      <w:proofErr w:type="spellStart"/>
      <w:r w:rsidR="00B61601">
        <w:t>Maharg</w:t>
      </w:r>
      <w:proofErr w:type="spellEnd"/>
      <w:r w:rsidR="00B61601">
        <w:t xml:space="preserve"> 2007)</w:t>
      </w:r>
      <w:r w:rsidR="00AE6895">
        <w:t xml:space="preserve">.  </w:t>
      </w:r>
    </w:p>
    <w:p w:rsidR="002C35D1" w:rsidRDefault="002C35D1"/>
    <w:p w:rsidR="00AF6F63" w:rsidRDefault="002C35D1" w:rsidP="00433B7D">
      <w:pPr>
        <w:pStyle w:val="Heading2"/>
      </w:pPr>
      <w:r>
        <w:t>Project aims</w:t>
      </w:r>
      <w:r w:rsidR="00DA5D60">
        <w:t xml:space="preserve"> and methods</w:t>
      </w:r>
    </w:p>
    <w:p w:rsidR="001D48D6" w:rsidRDefault="001D48D6" w:rsidP="00B61601">
      <w:r>
        <w:t xml:space="preserve">The main hypothesis of our project is that the barriers to an understanding and adoption of mobile technology in legal education, as in higher education generally, are not technical but social.  We further hypothesise that there are two causes: staff </w:t>
      </w:r>
      <w:r w:rsidR="004750FE">
        <w:t>are uncertain</w:t>
      </w:r>
      <w:r>
        <w:t xml:space="preserve"> how to design </w:t>
      </w:r>
      <w:r w:rsidR="00433B7D">
        <w:t>and implement such technologies;</w:t>
      </w:r>
      <w:r>
        <w:t xml:space="preserve"> and there is currently too much </w:t>
      </w:r>
      <w:r w:rsidR="004750FE">
        <w:t xml:space="preserve">institutional </w:t>
      </w:r>
      <w:r>
        <w:t xml:space="preserve">investment in replication of conventional modes of teaching through the unimaginative use of technologies such as institutional </w:t>
      </w:r>
      <w:proofErr w:type="spellStart"/>
      <w:r>
        <w:t>VLEs</w:t>
      </w:r>
      <w:proofErr w:type="spellEnd"/>
      <w:r>
        <w:t xml:space="preserve">.  </w:t>
      </w:r>
    </w:p>
    <w:p w:rsidR="001D48D6" w:rsidRDefault="001D48D6" w:rsidP="00B61601"/>
    <w:p w:rsidR="00DA342D" w:rsidRDefault="00B37F83" w:rsidP="00B61601">
      <w:r>
        <w:t xml:space="preserve">Our project </w:t>
      </w:r>
      <w:r w:rsidR="001D48D6">
        <w:t xml:space="preserve">therefore </w:t>
      </w:r>
      <w:r w:rsidR="00DA342D">
        <w:t>has two aims:</w:t>
      </w:r>
    </w:p>
    <w:p w:rsidR="00C12314" w:rsidRDefault="00B61601" w:rsidP="00DA342D">
      <w:pPr>
        <w:pStyle w:val="ListParagraph"/>
        <w:numPr>
          <w:ilvl w:val="0"/>
          <w:numId w:val="4"/>
        </w:numPr>
      </w:pPr>
      <w:proofErr w:type="gramStart"/>
      <w:r w:rsidRPr="00373643">
        <w:rPr>
          <w:i/>
        </w:rPr>
        <w:t>a</w:t>
      </w:r>
      <w:proofErr w:type="gramEnd"/>
      <w:r w:rsidRPr="00373643">
        <w:rPr>
          <w:i/>
        </w:rPr>
        <w:t xml:space="preserve"> preliminary investigation of the inscriptions, conversations and social environment that result from use of a mobile device.</w:t>
      </w:r>
      <w:r w:rsidR="00373643">
        <w:t xml:space="preserve">  This will involve</w:t>
      </w:r>
      <w:r>
        <w:t xml:space="preserve"> the use of </w:t>
      </w:r>
      <w:proofErr w:type="spellStart"/>
      <w:r>
        <w:t>iPads</w:t>
      </w:r>
      <w:proofErr w:type="spellEnd"/>
      <w:r>
        <w:t xml:space="preserve"> on a pilot project with students on a Business Law &amp; Practice module on the LPC at Northumbria University.  We shall issue the devices to students and track use </w:t>
      </w:r>
      <w:r w:rsidR="00373643">
        <w:t xml:space="preserve">of them over the course of the module.  Content </w:t>
      </w:r>
      <w:r>
        <w:t>will have been sub</w:t>
      </w:r>
      <w:r w:rsidR="00373643">
        <w:t>stantially rewritten to adapt</w:t>
      </w:r>
      <w:r>
        <w:t xml:space="preserve"> to a mobile environment</w:t>
      </w:r>
      <w:r w:rsidR="00373643">
        <w:t xml:space="preserve"> and module structure will also be re-designed to align with constructivist and transactional learning principles</w:t>
      </w:r>
      <w:r>
        <w:t xml:space="preserve">.  </w:t>
      </w:r>
    </w:p>
    <w:p w:rsidR="00C12314" w:rsidRPr="00C12314" w:rsidRDefault="00C12314" w:rsidP="00C12314">
      <w:pPr>
        <w:pStyle w:val="ListParagraph"/>
        <w:ind w:left="1080"/>
      </w:pPr>
    </w:p>
    <w:p w:rsidR="00A93F89" w:rsidRDefault="00C12314" w:rsidP="00C12314">
      <w:pPr>
        <w:ind w:left="1080"/>
      </w:pPr>
      <w:r>
        <w:t>This will involve use of questionnaires, interviews, tracking software and feedback to and discussion with students in research workshops.</w:t>
      </w:r>
    </w:p>
    <w:p w:rsidR="00DA342D" w:rsidRDefault="00DA342D" w:rsidP="00C12314">
      <w:pPr>
        <w:ind w:left="1080"/>
      </w:pPr>
    </w:p>
    <w:p w:rsidR="00C12314" w:rsidRPr="00C12314" w:rsidRDefault="00DA342D" w:rsidP="00DA342D">
      <w:pPr>
        <w:pStyle w:val="ListParagraph"/>
        <w:numPr>
          <w:ilvl w:val="0"/>
          <w:numId w:val="4"/>
        </w:numPr>
        <w:rPr>
          <w:i/>
        </w:rPr>
      </w:pPr>
      <w:proofErr w:type="gramStart"/>
      <w:r w:rsidRPr="00373643">
        <w:rPr>
          <w:i/>
        </w:rPr>
        <w:t>a</w:t>
      </w:r>
      <w:proofErr w:type="gramEnd"/>
      <w:r w:rsidRPr="00373643">
        <w:rPr>
          <w:i/>
        </w:rPr>
        <w:t xml:space="preserve"> comparison of the </w:t>
      </w:r>
      <w:r w:rsidR="00E71474">
        <w:rPr>
          <w:i/>
        </w:rPr>
        <w:t>functionality</w:t>
      </w:r>
      <w:r w:rsidRPr="00373643">
        <w:rPr>
          <w:i/>
        </w:rPr>
        <w:t xml:space="preserve"> that students </w:t>
      </w:r>
      <w:r w:rsidR="00E71474">
        <w:rPr>
          <w:i/>
        </w:rPr>
        <w:t>use</w:t>
      </w:r>
      <w:r w:rsidRPr="00373643">
        <w:rPr>
          <w:i/>
        </w:rPr>
        <w:t xml:space="preserve"> in the mobile environment we shall build for them, with the functionality of the environment currently available to them in the university VLE, </w:t>
      </w:r>
      <w:proofErr w:type="spellStart"/>
      <w:r w:rsidRPr="00373643">
        <w:rPr>
          <w:i/>
        </w:rPr>
        <w:t>eLP</w:t>
      </w:r>
      <w:proofErr w:type="spellEnd"/>
      <w:r w:rsidRPr="00373643">
        <w:rPr>
          <w:i/>
        </w:rPr>
        <w:t xml:space="preserve"> (Blackboard).  </w:t>
      </w:r>
      <w:r w:rsidR="00E71474">
        <w:t xml:space="preserve">Currently, </w:t>
      </w:r>
      <w:proofErr w:type="spellStart"/>
      <w:r w:rsidR="00E71474">
        <w:t>VLEs</w:t>
      </w:r>
      <w:proofErr w:type="spellEnd"/>
      <w:r w:rsidR="00E71474">
        <w:t xml:space="preserve"> such as Blackboard afford very little interaction between students, except on highly constrained applications.  There is also little opportunity for students to use </w:t>
      </w:r>
      <w:proofErr w:type="spellStart"/>
      <w:r w:rsidR="00E71474">
        <w:t>PIMs</w:t>
      </w:r>
      <w:proofErr w:type="spellEnd"/>
      <w:r w:rsidR="00E71474">
        <w:t xml:space="preserve"> on a professional basis.  We shall compare student response to the two environments, presenting them with a conventional </w:t>
      </w:r>
      <w:proofErr w:type="spellStart"/>
      <w:r w:rsidR="00E71474">
        <w:t>eLP</w:t>
      </w:r>
      <w:proofErr w:type="spellEnd"/>
      <w:r w:rsidR="00E71474">
        <w:t xml:space="preserve"> environment (effectively the current module) with which they are familiar, and therefore can comment upon, and ask them to compare that environment’s functionality with that of the mobile device.  </w:t>
      </w:r>
    </w:p>
    <w:p w:rsidR="00C12314" w:rsidRDefault="00C12314" w:rsidP="00C12314">
      <w:pPr>
        <w:rPr>
          <w:i/>
        </w:rPr>
      </w:pPr>
    </w:p>
    <w:p w:rsidR="00C12314" w:rsidRDefault="00C12314" w:rsidP="00C12314">
      <w:pPr>
        <w:ind w:left="1080"/>
      </w:pPr>
      <w:r>
        <w:t>This will involve use of interviews and feedback to and discussion with students in research workshops.</w:t>
      </w:r>
    </w:p>
    <w:p w:rsidR="009D493E" w:rsidRDefault="009D493E" w:rsidP="00433B7D">
      <w:pPr>
        <w:pStyle w:val="Heading2"/>
      </w:pPr>
      <w:r>
        <w:t xml:space="preserve">Student </w:t>
      </w:r>
      <w:r w:rsidR="001A27DC">
        <w:t xml:space="preserve">and staff </w:t>
      </w:r>
      <w:r>
        <w:t>activity</w:t>
      </w:r>
    </w:p>
    <w:p w:rsidR="009D493E" w:rsidRDefault="00E30F21" w:rsidP="009D493E">
      <w:r>
        <w:t xml:space="preserve">The module represents a significant shift in pedagogy </w:t>
      </w:r>
      <w:r w:rsidR="001A27DC">
        <w:t xml:space="preserve">towards the mobile domain, and this has implications for both students and staff.  </w:t>
      </w:r>
      <w:r w:rsidR="009D493E">
        <w:t xml:space="preserve">Using the </w:t>
      </w:r>
      <w:proofErr w:type="spellStart"/>
      <w:r w:rsidR="009D493E">
        <w:t>iPad</w:t>
      </w:r>
      <w:proofErr w:type="spellEnd"/>
      <w:r w:rsidR="009D493E">
        <w:t xml:space="preserve">, students will, </w:t>
      </w:r>
      <w:r w:rsidR="009D493E">
        <w:rPr>
          <w:i/>
        </w:rPr>
        <w:t>inter alia</w:t>
      </w:r>
      <w:r w:rsidR="009D493E">
        <w:t>:</w:t>
      </w:r>
    </w:p>
    <w:p w:rsidR="00CF13E8" w:rsidRDefault="009D493E" w:rsidP="00E30F21">
      <w:pPr>
        <w:pStyle w:val="ListParagraph"/>
        <w:numPr>
          <w:ilvl w:val="0"/>
          <w:numId w:val="23"/>
        </w:numPr>
      </w:pPr>
      <w:r w:rsidRPr="00E30F21">
        <w:rPr>
          <w:i/>
        </w:rPr>
        <w:t>Access learning resources</w:t>
      </w:r>
      <w:r>
        <w:t xml:space="preserve"> such as </w:t>
      </w:r>
      <w:r w:rsidR="0007734E">
        <w:t xml:space="preserve">books, online databases, </w:t>
      </w:r>
      <w:r>
        <w:t>documents, simulation guidelines and fl</w:t>
      </w:r>
      <w:r w:rsidR="0007734E">
        <w:t xml:space="preserve">owcharts, webcasts, </w:t>
      </w:r>
      <w:proofErr w:type="spellStart"/>
      <w:r w:rsidR="0007734E">
        <w:t>quickcasts</w:t>
      </w:r>
      <w:proofErr w:type="spellEnd"/>
    </w:p>
    <w:p w:rsidR="0007734E" w:rsidRDefault="00CF13E8" w:rsidP="00E30F21">
      <w:pPr>
        <w:pStyle w:val="ListParagraph"/>
        <w:numPr>
          <w:ilvl w:val="0"/>
          <w:numId w:val="23"/>
        </w:numPr>
      </w:pPr>
      <w:r w:rsidRPr="00E30F21">
        <w:rPr>
          <w:i/>
        </w:rPr>
        <w:t>Take part in simulations</w:t>
      </w:r>
      <w:r>
        <w:t xml:space="preserve"> of legal practice, in particular Business </w:t>
      </w:r>
      <w:r w:rsidR="00766959">
        <w:t>Practice simulations, which will be the focus of group (or ‘firm’) and individual learning and assessment.</w:t>
      </w:r>
    </w:p>
    <w:p w:rsidR="0007734E" w:rsidRDefault="00CF13E8" w:rsidP="00E30F21">
      <w:pPr>
        <w:pStyle w:val="ListParagraph"/>
        <w:numPr>
          <w:ilvl w:val="0"/>
          <w:numId w:val="23"/>
        </w:numPr>
      </w:pPr>
      <w:r w:rsidRPr="00E30F21">
        <w:rPr>
          <w:i/>
        </w:rPr>
        <w:t xml:space="preserve">Create, </w:t>
      </w:r>
      <w:r w:rsidR="0007734E" w:rsidRPr="00E30F21">
        <w:rPr>
          <w:i/>
        </w:rPr>
        <w:t>edit</w:t>
      </w:r>
      <w:r w:rsidRPr="00E30F21">
        <w:rPr>
          <w:i/>
        </w:rPr>
        <w:t xml:space="preserve"> and store</w:t>
      </w:r>
      <w:r w:rsidR="0007734E">
        <w:t xml:space="preserve"> documents using cloud technologies</w:t>
      </w:r>
      <w:r>
        <w:t xml:space="preserve"> and social web applications as well as native </w:t>
      </w:r>
      <w:proofErr w:type="spellStart"/>
      <w:r>
        <w:t>iPad</w:t>
      </w:r>
      <w:proofErr w:type="spellEnd"/>
      <w:r>
        <w:t xml:space="preserve"> and </w:t>
      </w:r>
      <w:proofErr w:type="spellStart"/>
      <w:r>
        <w:t>iPhone</w:t>
      </w:r>
      <w:proofErr w:type="spellEnd"/>
      <w:r>
        <w:t xml:space="preserve"> apps.</w:t>
      </w:r>
    </w:p>
    <w:p w:rsidR="001A27DC" w:rsidRDefault="0007734E" w:rsidP="00E30F21">
      <w:pPr>
        <w:pStyle w:val="ListParagraph"/>
        <w:numPr>
          <w:ilvl w:val="0"/>
          <w:numId w:val="23"/>
        </w:numPr>
      </w:pPr>
      <w:r w:rsidRPr="00E30F21">
        <w:rPr>
          <w:i/>
        </w:rPr>
        <w:t>Communicate</w:t>
      </w:r>
      <w:r w:rsidR="00766959">
        <w:t xml:space="preserve"> with each other and with staff</w:t>
      </w:r>
      <w:r w:rsidR="001F3A6B">
        <w:t xml:space="preserve"> using email, discussion forums, surgeries and video conferencing; and communicate with </w:t>
      </w:r>
      <w:proofErr w:type="spellStart"/>
      <w:r w:rsidR="001F3A6B">
        <w:t>sim</w:t>
      </w:r>
      <w:proofErr w:type="spellEnd"/>
      <w:r w:rsidR="001F3A6B">
        <w:t xml:space="preserve"> characters through SIMPLE.</w:t>
      </w:r>
      <w:r w:rsidR="00A328EE">
        <w:t xml:space="preserve"> </w:t>
      </w:r>
    </w:p>
    <w:p w:rsidR="001A27DC" w:rsidRDefault="001A27DC" w:rsidP="001A27DC"/>
    <w:p w:rsidR="001A27DC" w:rsidRDefault="001A27DC" w:rsidP="001A27DC">
      <w:proofErr w:type="gramStart"/>
      <w:r>
        <w:t>Staff will</w:t>
      </w:r>
      <w:proofErr w:type="gramEnd"/>
      <w:r>
        <w:t xml:space="preserve">, </w:t>
      </w:r>
      <w:proofErr w:type="gramStart"/>
      <w:r>
        <w:rPr>
          <w:i/>
        </w:rPr>
        <w:t>inter alia</w:t>
      </w:r>
      <w:proofErr w:type="gramEnd"/>
      <w:r>
        <w:rPr>
          <w:i/>
        </w:rPr>
        <w:t>:</w:t>
      </w:r>
    </w:p>
    <w:p w:rsidR="00D334D6" w:rsidRDefault="00D334D6" w:rsidP="001A27DC">
      <w:pPr>
        <w:pStyle w:val="ListParagraph"/>
        <w:numPr>
          <w:ilvl w:val="0"/>
          <w:numId w:val="24"/>
        </w:numPr>
      </w:pPr>
      <w:r w:rsidRPr="00D334D6">
        <w:rPr>
          <w:i/>
        </w:rPr>
        <w:t>Create</w:t>
      </w:r>
      <w:r w:rsidR="00487F60">
        <w:rPr>
          <w:i/>
        </w:rPr>
        <w:t xml:space="preserve"> learning</w:t>
      </w:r>
      <w:r w:rsidRPr="00D334D6">
        <w:rPr>
          <w:i/>
        </w:rPr>
        <w:t xml:space="preserve"> </w:t>
      </w:r>
      <w:r w:rsidR="00652549">
        <w:rPr>
          <w:i/>
        </w:rPr>
        <w:t xml:space="preserve">&amp; assessment </w:t>
      </w:r>
      <w:r w:rsidRPr="00D334D6">
        <w:rPr>
          <w:i/>
        </w:rPr>
        <w:t>resources</w:t>
      </w:r>
      <w:r>
        <w:t xml:space="preserve"> for student learning</w:t>
      </w:r>
      <w:proofErr w:type="gramStart"/>
      <w:r w:rsidR="00487F60">
        <w:t>;</w:t>
      </w:r>
      <w:proofErr w:type="gramEnd"/>
      <w:r w:rsidR="00487F60">
        <w:t xml:space="preserve"> and </w:t>
      </w:r>
      <w:r w:rsidR="00487F60" w:rsidRPr="00487F60">
        <w:rPr>
          <w:i/>
        </w:rPr>
        <w:t>guidance descriptions</w:t>
      </w:r>
      <w:r w:rsidR="00487F60">
        <w:t xml:space="preserve"> of this new approach to learning</w:t>
      </w:r>
      <w:r w:rsidR="00652549">
        <w:t>.</w:t>
      </w:r>
    </w:p>
    <w:p w:rsidR="00C56644" w:rsidRPr="00C56644" w:rsidRDefault="00D334D6" w:rsidP="001A27DC">
      <w:pPr>
        <w:pStyle w:val="ListParagraph"/>
        <w:numPr>
          <w:ilvl w:val="0"/>
          <w:numId w:val="24"/>
        </w:numPr>
      </w:pPr>
      <w:r w:rsidRPr="00D334D6">
        <w:rPr>
          <w:i/>
        </w:rPr>
        <w:t>Create simulations</w:t>
      </w:r>
      <w:r>
        <w:t xml:space="preserve"> and </w:t>
      </w:r>
      <w:r w:rsidRPr="00C56644">
        <w:rPr>
          <w:i/>
        </w:rPr>
        <w:t>take part in simulations</w:t>
      </w:r>
      <w:r w:rsidR="00C56644">
        <w:rPr>
          <w:i/>
        </w:rPr>
        <w:t>.</w:t>
      </w:r>
    </w:p>
    <w:p w:rsidR="00487F60" w:rsidRPr="00652549" w:rsidRDefault="00C56644" w:rsidP="001A27DC">
      <w:pPr>
        <w:pStyle w:val="ListParagraph"/>
        <w:numPr>
          <w:ilvl w:val="0"/>
          <w:numId w:val="24"/>
        </w:numPr>
        <w:rPr>
          <w:i/>
        </w:rPr>
      </w:pPr>
      <w:r w:rsidRPr="00652549">
        <w:rPr>
          <w:i/>
        </w:rPr>
        <w:t>Give formati</w:t>
      </w:r>
      <w:r w:rsidR="00487F60" w:rsidRPr="00652549">
        <w:rPr>
          <w:i/>
        </w:rPr>
        <w:t xml:space="preserve">ve </w:t>
      </w:r>
      <w:proofErr w:type="spellStart"/>
      <w:r w:rsidR="00487F60" w:rsidRPr="00652549">
        <w:rPr>
          <w:i/>
        </w:rPr>
        <w:t>feedforward</w:t>
      </w:r>
      <w:proofErr w:type="spellEnd"/>
      <w:r w:rsidR="00487F60" w:rsidRPr="00652549">
        <w:rPr>
          <w:i/>
        </w:rPr>
        <w:t xml:space="preserve"> and feedback</w:t>
      </w:r>
      <w:r w:rsidR="00652549">
        <w:rPr>
          <w:i/>
        </w:rPr>
        <w:t>.</w:t>
      </w:r>
    </w:p>
    <w:p w:rsidR="00652549" w:rsidRDefault="00652549" w:rsidP="001A27DC">
      <w:pPr>
        <w:pStyle w:val="ListParagraph"/>
        <w:numPr>
          <w:ilvl w:val="0"/>
          <w:numId w:val="24"/>
        </w:numPr>
      </w:pPr>
      <w:r w:rsidRPr="00A3401A">
        <w:rPr>
          <w:i/>
        </w:rPr>
        <w:t>Appraise</w:t>
      </w:r>
      <w:r w:rsidR="00487F60">
        <w:t xml:space="preserve"> s</w:t>
      </w:r>
      <w:r w:rsidR="00C56644">
        <w:t>ummative</w:t>
      </w:r>
      <w:r w:rsidR="00487F60">
        <w:t xml:space="preserve"> assessment</w:t>
      </w:r>
      <w:r>
        <w:t xml:space="preserve"> tasks.</w:t>
      </w:r>
    </w:p>
    <w:p w:rsidR="009D493E" w:rsidRPr="001A27DC" w:rsidRDefault="00A3401A" w:rsidP="001A27DC">
      <w:pPr>
        <w:pStyle w:val="ListParagraph"/>
        <w:numPr>
          <w:ilvl w:val="0"/>
          <w:numId w:val="24"/>
        </w:numPr>
      </w:pPr>
      <w:r>
        <w:rPr>
          <w:i/>
        </w:rPr>
        <w:t xml:space="preserve">Communicate </w:t>
      </w:r>
      <w:r>
        <w:t>with students, in role and as tutors.</w:t>
      </w:r>
    </w:p>
    <w:p w:rsidR="00EF5ABB" w:rsidRDefault="00EF5ABB" w:rsidP="00433B7D">
      <w:pPr>
        <w:pStyle w:val="Heading2"/>
      </w:pPr>
      <w:r>
        <w:t>Project timeline</w:t>
      </w:r>
    </w:p>
    <w:p w:rsidR="00EF5ABB" w:rsidRPr="00EF5ABB" w:rsidRDefault="00EF5ABB" w:rsidP="00EF5ABB">
      <w:r>
        <w:t xml:space="preserve">A </w:t>
      </w:r>
      <w:r w:rsidR="00B52B22">
        <w:t xml:space="preserve">general </w:t>
      </w:r>
      <w:r>
        <w:t xml:space="preserve">timeline for </w:t>
      </w:r>
      <w:r w:rsidR="00A93F89">
        <w:t xml:space="preserve">project </w:t>
      </w:r>
      <w:r w:rsidR="00433B7D">
        <w:t>development is attached (see Appendix 1, p.7</w:t>
      </w:r>
      <w:r w:rsidR="00A93F89">
        <w:t>).</w:t>
      </w:r>
      <w:r>
        <w:t xml:space="preserve">  </w:t>
      </w:r>
    </w:p>
    <w:p w:rsidR="00774BFB" w:rsidRDefault="00774BFB" w:rsidP="00433B7D">
      <w:pPr>
        <w:pStyle w:val="Heading2"/>
      </w:pPr>
      <w:r>
        <w:t>Underlying theory</w:t>
      </w:r>
    </w:p>
    <w:p w:rsidR="0020567C" w:rsidRDefault="00774BFB">
      <w:r>
        <w:t>Our project will adapt mobile learning theory (</w:t>
      </w:r>
      <w:proofErr w:type="spellStart"/>
      <w:r>
        <w:t>Sharples</w:t>
      </w:r>
      <w:proofErr w:type="spellEnd"/>
      <w:r>
        <w:t xml:space="preserve">, </w:t>
      </w:r>
      <w:proofErr w:type="spellStart"/>
      <w:r>
        <w:t>Vavoula</w:t>
      </w:r>
      <w:proofErr w:type="spellEnd"/>
      <w:r>
        <w:t xml:space="preserve">), together with </w:t>
      </w:r>
      <w:proofErr w:type="spellStart"/>
      <w:r>
        <w:t>Latour’s</w:t>
      </w:r>
      <w:proofErr w:type="spellEnd"/>
      <w:r>
        <w:t xml:space="preserve"> version of actor-network-theory, and </w:t>
      </w:r>
      <w:proofErr w:type="spellStart"/>
      <w:r w:rsidR="005C56E7">
        <w:t>Engeström</w:t>
      </w:r>
      <w:r>
        <w:t>’s</w:t>
      </w:r>
      <w:proofErr w:type="spellEnd"/>
      <w:r>
        <w:t xml:space="preserve"> CHAT (cultural historical activity theory) framework</w:t>
      </w:r>
      <w:r w:rsidR="0020567C">
        <w:t xml:space="preserve"> (adapted)</w:t>
      </w:r>
      <w:r>
        <w:t xml:space="preserve">.  It will take a constructivist approach to student mobile learning through the implementation of transactional learning (TL).  </w:t>
      </w:r>
      <w:proofErr w:type="spellStart"/>
      <w:r w:rsidR="005C56E7">
        <w:t>Engeström</w:t>
      </w:r>
      <w:r w:rsidR="0020567C">
        <w:t>’s</w:t>
      </w:r>
      <w:proofErr w:type="spellEnd"/>
      <w:r w:rsidR="0020567C">
        <w:t xml:space="preserve"> CHAT framework has been adapted as follows (though elaborated, it still follows the typically dialectical movement and structure of the original):</w:t>
      </w:r>
    </w:p>
    <w:p w:rsidR="001C78A3" w:rsidRPr="00AF6F63" w:rsidRDefault="001C78A3"/>
    <w:p w:rsidR="00F00A91" w:rsidRDefault="00E33372">
      <w:r>
        <w:rPr>
          <w:noProof/>
          <w:lang w:val="en-US"/>
        </w:rPr>
        <w:drawing>
          <wp:inline distT="0" distB="0" distL="0" distR="0">
            <wp:extent cx="4457700" cy="45212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457700" cy="4521200"/>
                    </a:xfrm>
                    <a:prstGeom prst="rect">
                      <a:avLst/>
                    </a:prstGeom>
                    <a:noFill/>
                    <a:ln w="9525">
                      <a:noFill/>
                      <a:miter lim="800000"/>
                      <a:headEnd/>
                      <a:tailEnd/>
                    </a:ln>
                  </pic:spPr>
                </pic:pic>
              </a:graphicData>
            </a:graphic>
          </wp:inline>
        </w:drawing>
      </w:r>
    </w:p>
    <w:p w:rsidR="005C5988" w:rsidRDefault="005C5988" w:rsidP="0020567C">
      <w:r>
        <w:t xml:space="preserve">Figure 1: </w:t>
      </w:r>
      <w:proofErr w:type="spellStart"/>
      <w:r>
        <w:t>Mediational</w:t>
      </w:r>
      <w:proofErr w:type="spellEnd"/>
      <w:r>
        <w:t xml:space="preserve"> activity in transactional learning</w:t>
      </w:r>
      <w:r w:rsidR="0022415A">
        <w:t xml:space="preserve"> (Barton, McKellar, </w:t>
      </w:r>
      <w:proofErr w:type="spellStart"/>
      <w:r w:rsidR="0022415A">
        <w:t>Maharg</w:t>
      </w:r>
      <w:proofErr w:type="spellEnd"/>
      <w:r w:rsidR="0022415A">
        <w:t xml:space="preserve"> 2007</w:t>
      </w:r>
      <w:r w:rsidR="0086493C">
        <w:t>)</w:t>
      </w:r>
    </w:p>
    <w:p w:rsidR="004D69C2" w:rsidRDefault="004D69C2" w:rsidP="0020567C"/>
    <w:p w:rsidR="0020567C" w:rsidRDefault="004D69C2" w:rsidP="0020567C">
      <w:r>
        <w:t>Apart from the elaboration, what we have done is to adapt CHAT t</w:t>
      </w:r>
      <w:r w:rsidR="0007084B">
        <w:t xml:space="preserve">o </w:t>
      </w:r>
      <w:r w:rsidR="00E633BE">
        <w:t xml:space="preserve">the process of </w:t>
      </w:r>
      <w:r w:rsidR="0007084B">
        <w:t xml:space="preserve">learning by simulation.  </w:t>
      </w:r>
      <w:r w:rsidR="00C1218B">
        <w:t xml:space="preserve">There are many aspects of this model of learning that require investigation.  In the </w:t>
      </w:r>
      <w:proofErr w:type="spellStart"/>
      <w:r w:rsidR="00C1218B">
        <w:t>iLEGALL</w:t>
      </w:r>
      <w:proofErr w:type="spellEnd"/>
      <w:r w:rsidR="00C1218B">
        <w:t xml:space="preserve"> project there is one triangulation that we wish to explore in detail, and </w:t>
      </w:r>
      <w:r w:rsidR="00E633BE">
        <w:t xml:space="preserve">to </w:t>
      </w:r>
      <w:r w:rsidR="00C1218B">
        <w:t>which the project aims will contribute evi</w:t>
      </w:r>
      <w:r w:rsidR="00E633BE">
        <w:t>dence</w:t>
      </w:r>
      <w:r w:rsidR="00C1218B">
        <w:t xml:space="preserve">.  This focuses on the meditational role of identity.  Most theories of professional identity treat individual identity as being </w:t>
      </w:r>
      <w:r w:rsidR="005C5988">
        <w:t>an entity</w:t>
      </w:r>
      <w:r w:rsidR="00C1218B">
        <w:t xml:space="preserve"> separate</w:t>
      </w:r>
      <w:r w:rsidR="005C5988">
        <w:t xml:space="preserve"> from</w:t>
      </w:r>
      <w:r w:rsidR="00C1218B">
        <w:t xml:space="preserve"> </w:t>
      </w:r>
      <w:r w:rsidR="005C5988">
        <w:t xml:space="preserve">though embedded in </w:t>
      </w:r>
      <w:r w:rsidR="00C1218B">
        <w:t>the tools and distributed soci</w:t>
      </w:r>
      <w:r w:rsidR="00817E1A">
        <w:t>al environment</w:t>
      </w:r>
      <w:r w:rsidR="00E633BE">
        <w:t>s</w:t>
      </w:r>
      <w:r w:rsidR="00817E1A">
        <w:t xml:space="preserve"> that influence</w:t>
      </w:r>
      <w:r w:rsidR="00C1218B">
        <w:t xml:space="preserve"> the individual’s identity.  However it is a key </w:t>
      </w:r>
      <w:r w:rsidR="00817E1A">
        <w:t xml:space="preserve">point in situated learning, as of the adapted CHAT structure above, that identity itself is an integral element of </w:t>
      </w:r>
      <w:r w:rsidR="00E633BE">
        <w:t>its</w:t>
      </w:r>
      <w:r w:rsidR="00817E1A">
        <w:t xml:space="preserve"> </w:t>
      </w:r>
      <w:proofErr w:type="spellStart"/>
      <w:r w:rsidR="00817E1A">
        <w:rPr>
          <w:i/>
        </w:rPr>
        <w:t>habitus</w:t>
      </w:r>
      <w:proofErr w:type="spellEnd"/>
      <w:r w:rsidR="00E633BE">
        <w:rPr>
          <w:i/>
        </w:rPr>
        <w:t xml:space="preserve">, </w:t>
      </w:r>
      <w:r w:rsidR="00E633BE">
        <w:t>not a separate entity within it</w:t>
      </w:r>
      <w:r w:rsidR="00817E1A">
        <w:rPr>
          <w:i/>
        </w:rPr>
        <w:t xml:space="preserve">.  </w:t>
      </w:r>
      <w:r w:rsidR="00817E1A">
        <w:t xml:space="preserve">The </w:t>
      </w:r>
      <w:proofErr w:type="spellStart"/>
      <w:r w:rsidR="00817E1A">
        <w:t>Deweyan</w:t>
      </w:r>
      <w:proofErr w:type="spellEnd"/>
      <w:r w:rsidR="00817E1A">
        <w:t xml:space="preserve"> focus upon the </w:t>
      </w:r>
      <w:proofErr w:type="gramStart"/>
      <w:r w:rsidR="00817E1A">
        <w:t>socially-mediated</w:t>
      </w:r>
      <w:proofErr w:type="gramEnd"/>
      <w:r w:rsidR="00817E1A">
        <w:t xml:space="preserve"> individual is typical of this inversion. In the diagram above, therefore,</w:t>
      </w:r>
      <w:r w:rsidR="0007084B">
        <w:t xml:space="preserve"> before the rules of practice and transactional guidelines (subject) can </w:t>
      </w:r>
      <w:r w:rsidR="00E633BE">
        <w:t xml:space="preserve">begin to </w:t>
      </w:r>
      <w:proofErr w:type="gramStart"/>
      <w:r w:rsidR="0007084B">
        <w:t>effect</w:t>
      </w:r>
      <w:proofErr w:type="gramEnd"/>
      <w:r w:rsidR="0007084B">
        <w:t xml:space="preserve"> a transactional community</w:t>
      </w:r>
      <w:r w:rsidR="00817E1A">
        <w:t xml:space="preserve"> (object)</w:t>
      </w:r>
      <w:r w:rsidR="0007084B">
        <w:t>, they need to be medi</w:t>
      </w:r>
      <w:r w:rsidR="008D7CA7">
        <w:t>ated (understood and enacted) through</w:t>
      </w:r>
      <w:r w:rsidR="0007084B">
        <w:t xml:space="preserve"> the personal identity of individuals</w:t>
      </w:r>
      <w:r w:rsidR="00817E1A">
        <w:t xml:space="preserve"> (tool)</w:t>
      </w:r>
      <w:r w:rsidR="0007084B">
        <w:t xml:space="preserve">.  </w:t>
      </w:r>
    </w:p>
    <w:p w:rsidR="0020567C" w:rsidRDefault="0020567C" w:rsidP="0020567C"/>
    <w:p w:rsidR="0020567C" w:rsidRDefault="0020567C" w:rsidP="0020567C">
      <w:r>
        <w:t>Transactional learning</w:t>
      </w:r>
      <w:r w:rsidR="00044A9B">
        <w:t>, as a design heuristic, operates on a curriculum-design level, involving</w:t>
      </w:r>
      <w:r w:rsidR="00091E4E">
        <w:t xml:space="preserve"> designers and students in</w:t>
      </w:r>
      <w:r w:rsidR="0083767D">
        <w:t xml:space="preserve"> the following activities and states</w:t>
      </w:r>
      <w:r>
        <w:t>:</w:t>
      </w:r>
    </w:p>
    <w:p w:rsidR="0020567C" w:rsidRPr="0020567C" w:rsidRDefault="0020567C" w:rsidP="0020567C">
      <w:pPr>
        <w:rPr>
          <w:i/>
        </w:rPr>
      </w:pPr>
      <w:proofErr w:type="gramStart"/>
      <w:r w:rsidRPr="0020567C">
        <w:rPr>
          <w:bCs/>
          <w:i/>
        </w:rPr>
        <w:t>active</w:t>
      </w:r>
      <w:proofErr w:type="gramEnd"/>
      <w:r w:rsidRPr="0020567C">
        <w:rPr>
          <w:bCs/>
          <w:i/>
        </w:rPr>
        <w:t xml:space="preserve"> learning</w:t>
      </w:r>
    </w:p>
    <w:p w:rsidR="0020567C" w:rsidRPr="0020567C" w:rsidRDefault="0020567C" w:rsidP="0020567C">
      <w:r w:rsidRPr="0020567C">
        <w:t xml:space="preserve">  </w:t>
      </w:r>
      <w:proofErr w:type="gramStart"/>
      <w:r w:rsidRPr="0020567C">
        <w:t>through</w:t>
      </w:r>
      <w:proofErr w:type="gramEnd"/>
      <w:r w:rsidRPr="0020567C">
        <w:t xml:space="preserve"> </w:t>
      </w:r>
      <w:r w:rsidRPr="0020567C">
        <w:rPr>
          <w:bCs/>
          <w:i/>
        </w:rPr>
        <w:t>performance in authentic transactions</w:t>
      </w:r>
    </w:p>
    <w:p w:rsidR="0020567C" w:rsidRPr="0020567C" w:rsidRDefault="0020567C" w:rsidP="0020567C">
      <w:r w:rsidRPr="0020567C">
        <w:t xml:space="preserve">    </w:t>
      </w:r>
      <w:proofErr w:type="gramStart"/>
      <w:r w:rsidRPr="0020567C">
        <w:t>involving</w:t>
      </w:r>
      <w:proofErr w:type="gramEnd"/>
      <w:r w:rsidRPr="0020567C">
        <w:t xml:space="preserve"> </w:t>
      </w:r>
      <w:r w:rsidRPr="0020567C">
        <w:rPr>
          <w:bCs/>
          <w:i/>
        </w:rPr>
        <w:t>reflection in &amp; on learning,</w:t>
      </w:r>
    </w:p>
    <w:p w:rsidR="0020567C" w:rsidRPr="0020567C" w:rsidRDefault="0020567C" w:rsidP="0020567C">
      <w:r w:rsidRPr="0020567C">
        <w:t xml:space="preserve">      </w:t>
      </w:r>
      <w:proofErr w:type="gramStart"/>
      <w:r w:rsidRPr="0020567C">
        <w:t>deep</w:t>
      </w:r>
      <w:proofErr w:type="gramEnd"/>
      <w:r w:rsidRPr="0020567C">
        <w:t xml:space="preserve"> </w:t>
      </w:r>
      <w:r w:rsidRPr="0020567C">
        <w:rPr>
          <w:bCs/>
          <w:i/>
        </w:rPr>
        <w:t>collaborative learning</w:t>
      </w:r>
      <w:r w:rsidRPr="0020567C">
        <w:rPr>
          <w:i/>
        </w:rPr>
        <w:t>,</w:t>
      </w:r>
      <w:r w:rsidRPr="0020567C">
        <w:t xml:space="preserve"> and </w:t>
      </w:r>
    </w:p>
    <w:p w:rsidR="0020567C" w:rsidRPr="0020567C" w:rsidRDefault="0020567C" w:rsidP="0020567C">
      <w:r w:rsidRPr="0020567C">
        <w:t xml:space="preserve">        </w:t>
      </w:r>
      <w:proofErr w:type="gramStart"/>
      <w:r w:rsidRPr="0020567C">
        <w:t>holistic</w:t>
      </w:r>
      <w:proofErr w:type="gramEnd"/>
      <w:r w:rsidRPr="0020567C">
        <w:t xml:space="preserve"> or </w:t>
      </w:r>
      <w:r w:rsidRPr="0020567C">
        <w:rPr>
          <w:bCs/>
          <w:i/>
        </w:rPr>
        <w:t>process learning,</w:t>
      </w:r>
    </w:p>
    <w:p w:rsidR="0020567C" w:rsidRPr="0020567C" w:rsidRDefault="0020567C" w:rsidP="0020567C">
      <w:r w:rsidRPr="0020567C">
        <w:t xml:space="preserve">          </w:t>
      </w:r>
      <w:proofErr w:type="gramStart"/>
      <w:r w:rsidRPr="0020567C">
        <w:t>with</w:t>
      </w:r>
      <w:proofErr w:type="gramEnd"/>
      <w:r w:rsidRPr="0020567C">
        <w:t xml:space="preserve"> </w:t>
      </w:r>
      <w:r w:rsidRPr="0020567C">
        <w:rPr>
          <w:bCs/>
          <w:i/>
        </w:rPr>
        <w:t>relevant professional assessment</w:t>
      </w:r>
    </w:p>
    <w:p w:rsidR="0020567C" w:rsidRPr="0020567C" w:rsidRDefault="0020567C" w:rsidP="0020567C">
      <w:r w:rsidRPr="0020567C">
        <w:t xml:space="preserve">            </w:t>
      </w:r>
      <w:proofErr w:type="gramStart"/>
      <w:r w:rsidRPr="0020567C">
        <w:t>that</w:t>
      </w:r>
      <w:proofErr w:type="gramEnd"/>
      <w:r w:rsidRPr="0020567C">
        <w:t xml:space="preserve"> includes </w:t>
      </w:r>
      <w:r w:rsidRPr="0020567C">
        <w:rPr>
          <w:bCs/>
          <w:i/>
        </w:rPr>
        <w:t>ethical standards</w:t>
      </w:r>
    </w:p>
    <w:p w:rsidR="0020567C" w:rsidRDefault="0083767D" w:rsidP="0020567C">
      <w:r>
        <w:t xml:space="preserve">In our analysis of project results we shall be </w:t>
      </w:r>
      <w:r w:rsidR="00E633BE">
        <w:t>investigating</w:t>
      </w:r>
      <w:r>
        <w:t xml:space="preserve"> these aspects of CHAT theory and TL.  </w:t>
      </w:r>
    </w:p>
    <w:p w:rsidR="00F00A91" w:rsidRDefault="00F00A91"/>
    <w:p w:rsidR="001C78A3" w:rsidRDefault="001C78A3"/>
    <w:p w:rsidR="00795672" w:rsidRDefault="003B5C17" w:rsidP="00433B7D">
      <w:pPr>
        <w:pStyle w:val="Heading1"/>
      </w:pPr>
      <w:r>
        <w:t>2.</w:t>
      </w:r>
      <w:r>
        <w:tab/>
      </w:r>
      <w:r w:rsidR="001C78A3">
        <w:t>Brief literature review</w:t>
      </w:r>
    </w:p>
    <w:p w:rsidR="00586E45" w:rsidRDefault="00EA79C4" w:rsidP="00795672">
      <w:r>
        <w:t>Our study follows the classic literature i</w:t>
      </w:r>
      <w:r w:rsidR="00296F37">
        <w:t xml:space="preserve">n </w:t>
      </w:r>
      <w:r w:rsidR="00433B7D">
        <w:t>actor-network-theory (</w:t>
      </w:r>
      <w:r w:rsidR="00296F37">
        <w:t>ANT</w:t>
      </w:r>
      <w:r w:rsidR="00433B7D">
        <w:t>)</w:t>
      </w:r>
      <w:r w:rsidR="00296F37">
        <w:t xml:space="preserve">, together with the mobile learning </w:t>
      </w:r>
      <w:r w:rsidR="00C22A21">
        <w:t xml:space="preserve">literature </w:t>
      </w:r>
      <w:r w:rsidR="00F10FC3">
        <w:t xml:space="preserve">such as created by the </w:t>
      </w:r>
      <w:proofErr w:type="spellStart"/>
      <w:r w:rsidR="00F10FC3">
        <w:t>MOBILearn</w:t>
      </w:r>
      <w:proofErr w:type="spellEnd"/>
      <w:r w:rsidR="00F10FC3">
        <w:t xml:space="preserve"> Group (</w:t>
      </w:r>
      <w:r w:rsidR="00541D1C">
        <w:t xml:space="preserve">O’Malley </w:t>
      </w:r>
      <w:r w:rsidR="00541D1C">
        <w:rPr>
          <w:i/>
        </w:rPr>
        <w:t xml:space="preserve">et al </w:t>
      </w:r>
      <w:r w:rsidR="00F10FC3">
        <w:t xml:space="preserve">2003), and </w:t>
      </w:r>
      <w:r w:rsidR="00433B7D">
        <w:t xml:space="preserve">created by Mike </w:t>
      </w:r>
      <w:proofErr w:type="spellStart"/>
      <w:r w:rsidR="00433B7D">
        <w:t>Sharples</w:t>
      </w:r>
      <w:proofErr w:type="spellEnd"/>
      <w:r w:rsidR="00433B7D">
        <w:t xml:space="preserve"> and the</w:t>
      </w:r>
      <w:r w:rsidR="00C22A21">
        <w:t xml:space="preserve"> group at </w:t>
      </w:r>
      <w:r w:rsidR="005C5988">
        <w:t>Nottingham University’s Learning Sciences Research Institute</w:t>
      </w:r>
      <w:r w:rsidR="00C22A21">
        <w:t xml:space="preserve">.  We also </w:t>
      </w:r>
      <w:r w:rsidR="00AB2F3C">
        <w:t xml:space="preserve">dovetail research from </w:t>
      </w:r>
      <w:proofErr w:type="spellStart"/>
      <w:r w:rsidR="005C5988">
        <w:t>Yrjö</w:t>
      </w:r>
      <w:proofErr w:type="spellEnd"/>
      <w:r w:rsidR="005C5988">
        <w:t xml:space="preserve"> </w:t>
      </w:r>
      <w:proofErr w:type="spellStart"/>
      <w:r w:rsidR="005C56E7">
        <w:t>Engeström</w:t>
      </w:r>
      <w:proofErr w:type="spellEnd"/>
      <w:r w:rsidR="00C22A21">
        <w:t xml:space="preserve">, and our own developed pedagogies such as TL.  </w:t>
      </w:r>
      <w:r w:rsidR="00AC49FB">
        <w:t>Unlike medical education</w:t>
      </w:r>
      <w:r w:rsidR="00EB3EFD">
        <w:t xml:space="preserve"> (</w:t>
      </w:r>
      <w:proofErr w:type="spellStart"/>
      <w:r w:rsidR="00EB3EFD">
        <w:t>Ellaway</w:t>
      </w:r>
      <w:proofErr w:type="spellEnd"/>
      <w:r w:rsidR="00EB3EFD">
        <w:t xml:space="preserve"> &amp; Masters 2008)</w:t>
      </w:r>
      <w:r w:rsidR="00AC49FB">
        <w:t xml:space="preserve">, there </w:t>
      </w:r>
      <w:r w:rsidR="00433B7D">
        <w:t>have been</w:t>
      </w:r>
      <w:r w:rsidR="00AC49FB">
        <w:t xml:space="preserve"> very few serious studies of mobile learning in legal education i</w:t>
      </w:r>
      <w:r w:rsidR="00EB3EFD">
        <w:t xml:space="preserve">n any Common Law jurisdiction within the last three years.  </w:t>
      </w:r>
      <w:r w:rsidR="00B85787">
        <w:t xml:space="preserve">A literature search 2008-2011 for UK jurisdictions, </w:t>
      </w:r>
      <w:r w:rsidR="00433B7D">
        <w:t xml:space="preserve">for </w:t>
      </w:r>
      <w:r w:rsidR="00B85787">
        <w:t xml:space="preserve">Ireland, USA, Canada, Australia, </w:t>
      </w:r>
      <w:r w:rsidR="00433B7D">
        <w:t xml:space="preserve">and </w:t>
      </w:r>
      <w:r w:rsidR="00B85787">
        <w:t xml:space="preserve">New Zealand identified no studies </w:t>
      </w:r>
      <w:r w:rsidR="000F5D01">
        <w:t xml:space="preserve">that were both theoretical and </w:t>
      </w:r>
      <w:r w:rsidR="00B85787">
        <w:t xml:space="preserve">based upon empirical data within this </w:t>
      </w:r>
      <w:proofErr w:type="spellStart"/>
      <w:r w:rsidR="00B85787">
        <w:t>datespan</w:t>
      </w:r>
      <w:proofErr w:type="spellEnd"/>
      <w:r w:rsidR="00B85787">
        <w:t xml:space="preserve">.  </w:t>
      </w:r>
      <w:r w:rsidR="00A5711B">
        <w:t>Our study can</w:t>
      </w:r>
      <w:r w:rsidR="000F5D01">
        <w:t xml:space="preserve"> therefore claim to be a unique, timely </w:t>
      </w:r>
      <w:r w:rsidR="00A5711B">
        <w:t xml:space="preserve">and much-needed project in the field of legal education.  </w:t>
      </w:r>
    </w:p>
    <w:p w:rsidR="00586E45" w:rsidRDefault="00586E45" w:rsidP="00795672"/>
    <w:p w:rsidR="00586E45" w:rsidRDefault="0073780B" w:rsidP="00433B7D">
      <w:pPr>
        <w:pStyle w:val="Heading1"/>
      </w:pPr>
      <w:r>
        <w:t>3.</w:t>
      </w:r>
      <w:r>
        <w:tab/>
      </w:r>
      <w:r w:rsidR="00586E45">
        <w:t>Project outputs</w:t>
      </w:r>
    </w:p>
    <w:p w:rsidR="007109E6" w:rsidRDefault="007109E6" w:rsidP="00586E45">
      <w:r>
        <w:t>Th</w:t>
      </w:r>
      <w:r w:rsidR="004E3814">
        <w:t>ere will be at least four</w:t>
      </w:r>
      <w:r>
        <w:t xml:space="preserve"> </w:t>
      </w:r>
      <w:r w:rsidR="00E633BE">
        <w:t xml:space="preserve">sets of </w:t>
      </w:r>
      <w:r>
        <w:t>project outputs:</w:t>
      </w:r>
    </w:p>
    <w:p w:rsidR="007109E6" w:rsidRDefault="007109E6" w:rsidP="00433B7D">
      <w:pPr>
        <w:pStyle w:val="Heading2"/>
      </w:pPr>
      <w:proofErr w:type="spellStart"/>
      <w:proofErr w:type="gramStart"/>
      <w:r>
        <w:t>iPad</w:t>
      </w:r>
      <w:proofErr w:type="spellEnd"/>
      <w:proofErr w:type="gramEnd"/>
      <w:r>
        <w:t xml:space="preserve"> apps</w:t>
      </w:r>
    </w:p>
    <w:p w:rsidR="007109E6" w:rsidRPr="007109E6" w:rsidRDefault="007109E6" w:rsidP="0022415A">
      <w:pPr>
        <w:ind w:left="360"/>
      </w:pPr>
      <w:r>
        <w:t xml:space="preserve">We shall make our portal design and apps available for the wider legal educational community.  Information will be available via our Northumbria site and the BILETA websites, and the apps will be available, of course, </w:t>
      </w:r>
      <w:r w:rsidRPr="007109E6">
        <w:rPr>
          <w:i/>
        </w:rPr>
        <w:t>via</w:t>
      </w:r>
      <w:r>
        <w:t xml:space="preserve"> iTunes.  </w:t>
      </w:r>
    </w:p>
    <w:p w:rsidR="007109E6" w:rsidRDefault="007109E6" w:rsidP="00433B7D">
      <w:pPr>
        <w:pStyle w:val="Heading2"/>
      </w:pPr>
      <w:r>
        <w:t xml:space="preserve">SIMPLE </w:t>
      </w:r>
      <w:proofErr w:type="spellStart"/>
      <w:proofErr w:type="gramStart"/>
      <w:r>
        <w:t>sims</w:t>
      </w:r>
      <w:proofErr w:type="spellEnd"/>
      <w:proofErr w:type="gramEnd"/>
    </w:p>
    <w:p w:rsidR="007109E6" w:rsidRPr="007109E6" w:rsidRDefault="007109E6" w:rsidP="0022415A">
      <w:pPr>
        <w:ind w:left="360"/>
      </w:pPr>
      <w:r>
        <w:t xml:space="preserve">The SIMPLE </w:t>
      </w:r>
      <w:r w:rsidR="00433B7D">
        <w:t>blueprints</w:t>
      </w:r>
      <w:r>
        <w:t xml:space="preserve"> we create will be available </w:t>
      </w:r>
      <w:r>
        <w:rPr>
          <w:i/>
        </w:rPr>
        <w:t xml:space="preserve">via </w:t>
      </w:r>
      <w:proofErr w:type="spellStart"/>
      <w:r>
        <w:t>Simshare</w:t>
      </w:r>
      <w:proofErr w:type="spellEnd"/>
      <w:r>
        <w:t xml:space="preserve"> (</w:t>
      </w:r>
      <w:hyperlink r:id="rId6" w:history="1">
        <w:r w:rsidRPr="003E1A95">
          <w:rPr>
            <w:rStyle w:val="Hyperlink"/>
          </w:rPr>
          <w:t>www.simshare.org.uk</w:t>
        </w:r>
      </w:hyperlink>
      <w:r>
        <w:t xml:space="preserve">) </w:t>
      </w:r>
      <w:r w:rsidR="0084194D">
        <w:t xml:space="preserve">under </w:t>
      </w:r>
      <w:proofErr w:type="gramStart"/>
      <w:r w:rsidR="0084194D">
        <w:t>Creative Commons</w:t>
      </w:r>
      <w:proofErr w:type="gramEnd"/>
      <w:r w:rsidR="0084194D">
        <w:t xml:space="preserve"> licences.  F</w:t>
      </w:r>
      <w:r>
        <w:t xml:space="preserve">urther information on any </w:t>
      </w:r>
      <w:proofErr w:type="spellStart"/>
      <w:r>
        <w:t>plugins</w:t>
      </w:r>
      <w:proofErr w:type="spellEnd"/>
      <w:r>
        <w:t xml:space="preserve"> will be available from the SIMPLE site at </w:t>
      </w:r>
      <w:hyperlink r:id="rId7" w:history="1">
        <w:r w:rsidRPr="003E1A95">
          <w:rPr>
            <w:rStyle w:val="Hyperlink"/>
          </w:rPr>
          <w:t>http://simplecommunity.org</w:t>
        </w:r>
      </w:hyperlink>
      <w:r w:rsidR="0084194D">
        <w:t xml:space="preserve">, from where the </w:t>
      </w:r>
      <w:proofErr w:type="spellStart"/>
      <w:r w:rsidR="0084194D">
        <w:t>plugins</w:t>
      </w:r>
      <w:proofErr w:type="spellEnd"/>
      <w:r w:rsidR="0084194D">
        <w:t xml:space="preserve"> can be obtained </w:t>
      </w:r>
      <w:r w:rsidR="00BE24F2">
        <w:t>under the same conditions as SIMPLE itself</w:t>
      </w:r>
      <w:r w:rsidR="0084194D">
        <w:t>.</w:t>
      </w:r>
    </w:p>
    <w:p w:rsidR="007109E6" w:rsidRDefault="007109E6" w:rsidP="00433B7D">
      <w:pPr>
        <w:pStyle w:val="Heading2"/>
      </w:pPr>
      <w:r>
        <w:t>Other learning resources</w:t>
      </w:r>
    </w:p>
    <w:p w:rsidR="007109E6" w:rsidRPr="0084194D" w:rsidRDefault="007109E6" w:rsidP="0022415A">
      <w:pPr>
        <w:ind w:left="360"/>
      </w:pPr>
      <w:r>
        <w:t xml:space="preserve">We shall create other resources to accompany the simulations such as webcasts and podcasts and other textual resources.  </w:t>
      </w:r>
      <w:r w:rsidR="0084194D">
        <w:t xml:space="preserve">These will be made available </w:t>
      </w:r>
      <w:r w:rsidR="0084194D">
        <w:rPr>
          <w:i/>
        </w:rPr>
        <w:t xml:space="preserve">via </w:t>
      </w:r>
      <w:proofErr w:type="spellStart"/>
      <w:r w:rsidR="0084194D">
        <w:t>Simshare</w:t>
      </w:r>
      <w:proofErr w:type="spellEnd"/>
      <w:r w:rsidR="0084194D">
        <w:t xml:space="preserve"> on </w:t>
      </w:r>
      <w:proofErr w:type="gramStart"/>
      <w:r w:rsidR="0084194D">
        <w:t>Creative Commons</w:t>
      </w:r>
      <w:proofErr w:type="gramEnd"/>
      <w:r w:rsidR="0084194D">
        <w:t xml:space="preserve"> licences.  </w:t>
      </w:r>
      <w:r w:rsidR="00433B7D">
        <w:t>Some of these resources are briefly set out in Appendix 2 as part of the resource plan for the simulations we shall create (p.8).</w:t>
      </w:r>
    </w:p>
    <w:p w:rsidR="007109E6" w:rsidRDefault="007109E6" w:rsidP="00433B7D">
      <w:pPr>
        <w:pStyle w:val="Heading2"/>
      </w:pPr>
      <w:r>
        <w:t>Research</w:t>
      </w:r>
    </w:p>
    <w:p w:rsidR="00795672" w:rsidRPr="00586E45" w:rsidRDefault="00586E45" w:rsidP="0022415A">
      <w:pPr>
        <w:ind w:left="360"/>
      </w:pPr>
      <w:r>
        <w:t>We shall g</w:t>
      </w:r>
      <w:r w:rsidR="00E633BE">
        <w:t>enerate a first-stage report, Creative Commons</w:t>
      </w:r>
      <w:r>
        <w:t xml:space="preserve">-copyrighted and posted to the SSRN as well as BILETA websites.  We intend to refine this report for </w:t>
      </w:r>
      <w:proofErr w:type="gramStart"/>
      <w:r>
        <w:t>publication in at least one journal, taking into account</w:t>
      </w:r>
      <w:proofErr w:type="gramEnd"/>
      <w:r>
        <w:t xml:space="preserve"> more of the theoretical literature surrounding the concept of mobile learning.  </w:t>
      </w:r>
    </w:p>
    <w:p w:rsidR="001C78A3" w:rsidRPr="00795672" w:rsidRDefault="001C78A3" w:rsidP="00795672"/>
    <w:p w:rsidR="001C78A3" w:rsidRDefault="0073780B" w:rsidP="00433B7D">
      <w:pPr>
        <w:pStyle w:val="Heading1"/>
      </w:pPr>
      <w:r>
        <w:t>4</w:t>
      </w:r>
      <w:r w:rsidR="003B5C17">
        <w:t>.</w:t>
      </w:r>
      <w:r w:rsidR="003B5C17">
        <w:tab/>
      </w:r>
      <w:r w:rsidR="001C78A3">
        <w:t>Costs</w:t>
      </w:r>
      <w:r w:rsidR="0095523F">
        <w:t xml:space="preserve"> and funding</w:t>
      </w:r>
    </w:p>
    <w:p w:rsidR="00EA79C4" w:rsidRDefault="0095523F">
      <w:r>
        <w:t>Salary costs of all full-time university employees, together with project infrastructure costs, will be borne by Northumbria University.  The purchase cost of the devices will be borne by the Law School.  There will be no ongoing support costs: students will own the devices and be responsible for their safety and maintenance.  We are</w:t>
      </w:r>
      <w:r w:rsidR="00433B7D">
        <w:t xml:space="preserve"> therefore</w:t>
      </w:r>
      <w:r>
        <w:t xml:space="preserve"> seeking funding to cover the following costs:  </w:t>
      </w:r>
    </w:p>
    <w:p w:rsidR="00EF052C" w:rsidRDefault="0095523F" w:rsidP="00EF052C">
      <w:pPr>
        <w:pStyle w:val="ListParagraph"/>
        <w:numPr>
          <w:ilvl w:val="0"/>
          <w:numId w:val="17"/>
        </w:numPr>
      </w:pPr>
      <w:r>
        <w:t>E</w:t>
      </w:r>
      <w:r w:rsidR="001C78A3">
        <w:t>mploy</w:t>
      </w:r>
      <w:r>
        <w:t>ment of a project m</w:t>
      </w:r>
      <w:r w:rsidR="001C78A3">
        <w:t>anager to manage the day-to-day progress of the project</w:t>
      </w:r>
      <w:r w:rsidR="00EA79C4">
        <w:t xml:space="preserve"> on a temporary part-time basis</w:t>
      </w:r>
      <w:r w:rsidR="001C78A3">
        <w:t xml:space="preserve">.  </w:t>
      </w:r>
    </w:p>
    <w:p w:rsidR="00EA79C4" w:rsidRDefault="0095523F" w:rsidP="00EF052C">
      <w:pPr>
        <w:pStyle w:val="ListParagraph"/>
        <w:numPr>
          <w:ilvl w:val="0"/>
          <w:numId w:val="17"/>
        </w:numPr>
      </w:pPr>
      <w:r>
        <w:t>E</w:t>
      </w:r>
      <w:r w:rsidR="00EF052C">
        <w:t>mploy</w:t>
      </w:r>
      <w:r>
        <w:t>ment of</w:t>
      </w:r>
      <w:r w:rsidR="00EF052C">
        <w:t xml:space="preserve"> technical consultants on a temporary part-time basis to develop small apps for the </w:t>
      </w:r>
      <w:proofErr w:type="spellStart"/>
      <w:r w:rsidR="00EF052C">
        <w:t>iPad</w:t>
      </w:r>
      <w:proofErr w:type="spellEnd"/>
      <w:r w:rsidR="00EF052C">
        <w:t xml:space="preserve"> portal we are designing.</w:t>
      </w:r>
    </w:p>
    <w:p w:rsidR="00EA79C4" w:rsidRDefault="00EA79C4"/>
    <w:p w:rsidR="003B5C17" w:rsidRDefault="0073780B" w:rsidP="00433B7D">
      <w:pPr>
        <w:pStyle w:val="Heading1"/>
      </w:pPr>
      <w:r>
        <w:t>5</w:t>
      </w:r>
      <w:r w:rsidR="003B5C17">
        <w:t>.</w:t>
      </w:r>
      <w:r w:rsidR="003B5C17">
        <w:tab/>
        <w:t>Further funding</w:t>
      </w:r>
    </w:p>
    <w:p w:rsidR="003B5C17" w:rsidRDefault="003B5C17">
      <w:r>
        <w:t>Funding from Northumbria Law School has been guaranteed, to match BILETA funding</w:t>
      </w:r>
      <w:r w:rsidR="00433B7D">
        <w:t xml:space="preserve"> requested</w:t>
      </w:r>
      <w:r>
        <w:t xml:space="preserve">.  We are also seeking funding from </w:t>
      </w:r>
      <w:r w:rsidR="0000693B">
        <w:t xml:space="preserve">institutions, other law schools, </w:t>
      </w:r>
      <w:proofErr w:type="gramStart"/>
      <w:r w:rsidR="0000693B">
        <w:t>other</w:t>
      </w:r>
      <w:proofErr w:type="gramEnd"/>
      <w:r w:rsidR="0000693B">
        <w:t xml:space="preserve"> entities including </w:t>
      </w:r>
      <w:r>
        <w:t xml:space="preserve">law firms either using or interested in using </w:t>
      </w:r>
      <w:proofErr w:type="spellStart"/>
      <w:r>
        <w:t>i</w:t>
      </w:r>
      <w:r w:rsidR="001F1C52">
        <w:t>Pads</w:t>
      </w:r>
      <w:proofErr w:type="spellEnd"/>
      <w:r w:rsidR="0000693B">
        <w:t xml:space="preserve"> in their legal practices</w:t>
      </w:r>
      <w:r w:rsidR="001F1C52">
        <w:t xml:space="preserve">.  </w:t>
      </w:r>
      <w:r w:rsidR="00433B7D">
        <w:t>Such</w:t>
      </w:r>
      <w:r w:rsidR="00A61D7C">
        <w:t xml:space="preserve"> further funding will be used to </w:t>
      </w:r>
      <w:r w:rsidR="001B3E61">
        <w:t xml:space="preserve">further </w:t>
      </w:r>
      <w:r w:rsidR="00A61D7C">
        <w:t xml:space="preserve">develop the portal interface, with relevant apps; the webcasts and podcasts; and the design and development of </w:t>
      </w:r>
      <w:proofErr w:type="spellStart"/>
      <w:r w:rsidR="00A61D7C">
        <w:t>plugins</w:t>
      </w:r>
      <w:proofErr w:type="spellEnd"/>
      <w:r w:rsidR="00A61D7C">
        <w:t xml:space="preserve"> to the SIMPLE environment that would allow more streamlined communications between students than is presently possible in SIMPLE </w:t>
      </w:r>
      <w:proofErr w:type="spellStart"/>
      <w:proofErr w:type="gramStart"/>
      <w:r w:rsidR="00A61D7C">
        <w:t>sims</w:t>
      </w:r>
      <w:proofErr w:type="spellEnd"/>
      <w:proofErr w:type="gramEnd"/>
      <w:r w:rsidR="00A61D7C">
        <w:t xml:space="preserve">.  </w:t>
      </w:r>
      <w:r w:rsidR="00A964D5">
        <w:t xml:space="preserve">With further funding we would also substantially develop the educational research </w:t>
      </w:r>
      <w:r w:rsidR="002C314F">
        <w:t>base of the project, and bring in more partners</w:t>
      </w:r>
      <w:r w:rsidR="009C7CAF">
        <w:t>, both nationally and internationally</w:t>
      </w:r>
      <w:r w:rsidR="002C314F">
        <w:t xml:space="preserve">.  </w:t>
      </w:r>
    </w:p>
    <w:p w:rsidR="003B5C17" w:rsidRDefault="003B5C17"/>
    <w:p w:rsidR="003B5C17" w:rsidRDefault="0073780B" w:rsidP="00433B7D">
      <w:pPr>
        <w:pStyle w:val="Heading1"/>
      </w:pPr>
      <w:r>
        <w:t>6</w:t>
      </w:r>
      <w:r w:rsidR="003B5C17">
        <w:t>.</w:t>
      </w:r>
      <w:r w:rsidR="003B5C17">
        <w:tab/>
        <w:t xml:space="preserve">Project team </w:t>
      </w:r>
    </w:p>
    <w:p w:rsidR="00AF5D08" w:rsidRDefault="003B5C17" w:rsidP="00433B7D">
      <w:pPr>
        <w:pStyle w:val="Heading3"/>
      </w:pPr>
      <w:r>
        <w:t>Jonathan Bainbridge (Principal Researcher)</w:t>
      </w:r>
    </w:p>
    <w:p w:rsidR="003B5C17" w:rsidRDefault="00AF5D08" w:rsidP="0022415A">
      <w:pPr>
        <w:tabs>
          <w:tab w:val="left" w:pos="709"/>
        </w:tabs>
        <w:ind w:left="720"/>
      </w:pPr>
      <w:r>
        <w:t xml:space="preserve">Jonathan is Module Leader, previously a practitioner, and a keen proponent of mobile learning.  He will be responsible for </w:t>
      </w:r>
      <w:r w:rsidR="00252353">
        <w:t xml:space="preserve">quality of resources, development of module resources, and </w:t>
      </w:r>
      <w:r>
        <w:t xml:space="preserve">ensuring that key milestones are met and that the project is in budget.  </w:t>
      </w:r>
      <w:r w:rsidR="007021CB">
        <w:t>He will teach the module, have oversight of resources development and implementation, and take part in</w:t>
      </w:r>
      <w:r w:rsidR="00271E7B">
        <w:t xml:space="preserve"> research design and dissemination of findings.  </w:t>
      </w:r>
    </w:p>
    <w:p w:rsidR="00AF5D08" w:rsidRDefault="003B5C17" w:rsidP="00433B7D">
      <w:pPr>
        <w:pStyle w:val="Heading3"/>
      </w:pPr>
      <w:r>
        <w:t>Professor Paul Maharg</w:t>
      </w:r>
    </w:p>
    <w:p w:rsidR="003B5C17" w:rsidRDefault="00AF5D08" w:rsidP="0022415A">
      <w:pPr>
        <w:tabs>
          <w:tab w:val="left" w:pos="709"/>
        </w:tabs>
        <w:ind w:left="720"/>
      </w:pPr>
      <w:r>
        <w:t xml:space="preserve">Paul brings to the project </w:t>
      </w:r>
      <w:proofErr w:type="gramStart"/>
      <w:r>
        <w:t>a knowledge</w:t>
      </w:r>
      <w:proofErr w:type="gramEnd"/>
      <w:r>
        <w:t xml:space="preserve"> of the research literature, a knowledge of learning with simulation and digital resources</w:t>
      </w:r>
      <w:r w:rsidR="007021CB">
        <w:t>, and curriculum design</w:t>
      </w:r>
      <w:r>
        <w:t xml:space="preserve">.  </w:t>
      </w:r>
      <w:r w:rsidR="00601E69">
        <w:t xml:space="preserve">He will be on research leave during most of the developmental phase, but will take part in the research </w:t>
      </w:r>
      <w:r w:rsidR="00271E7B">
        <w:t xml:space="preserve">design, research gathering, analysis, </w:t>
      </w:r>
      <w:r w:rsidR="00601E69">
        <w:t xml:space="preserve">write-up </w:t>
      </w:r>
      <w:r w:rsidR="00271E7B">
        <w:t>and dissemination of findings</w:t>
      </w:r>
      <w:r w:rsidR="00601E69">
        <w:t xml:space="preserve">.  </w:t>
      </w:r>
    </w:p>
    <w:p w:rsidR="00AF5D08" w:rsidRDefault="003B5C17" w:rsidP="00433B7D">
      <w:pPr>
        <w:pStyle w:val="Heading3"/>
      </w:pPr>
      <w:r>
        <w:t>Joel Mill (Project Manager</w:t>
      </w:r>
      <w:r w:rsidR="001B3E61">
        <w:t>, part-time temporary</w:t>
      </w:r>
      <w:r>
        <w:t>)</w:t>
      </w:r>
    </w:p>
    <w:p w:rsidR="003B5C17" w:rsidRDefault="00AF5D08" w:rsidP="0022415A">
      <w:pPr>
        <w:tabs>
          <w:tab w:val="left" w:pos="709"/>
        </w:tabs>
        <w:ind w:left="720"/>
      </w:pPr>
      <w:r>
        <w:t>Joel is a part-time law student who also works part-time with Apple, and comes from a Further Education and project management background.  He will be responsible for day-to-day management of the project not only in development but also in implementation phases.</w:t>
      </w:r>
    </w:p>
    <w:p w:rsidR="00252353" w:rsidRDefault="003B5C17" w:rsidP="00433B7D">
      <w:pPr>
        <w:pStyle w:val="Heading3"/>
      </w:pPr>
      <w:r>
        <w:t>Rebecca Mitchell</w:t>
      </w:r>
    </w:p>
    <w:p w:rsidR="00A259DD" w:rsidRPr="00A259DD" w:rsidRDefault="00271E7B" w:rsidP="0022415A">
      <w:pPr>
        <w:tabs>
          <w:tab w:val="left" w:pos="709"/>
        </w:tabs>
        <w:ind w:left="720"/>
        <w:rPr>
          <w:rStyle w:val="Heading3Char"/>
          <w:sz w:val="24"/>
        </w:rPr>
      </w:pPr>
      <w:r>
        <w:t>Rebecca</w:t>
      </w:r>
      <w:r w:rsidR="00A259DD">
        <w:t xml:space="preserve"> is a Principal Lecturer at Northumbria Law School.  She</w:t>
      </w:r>
      <w:r>
        <w:t xml:space="preserve"> will be responsible </w:t>
      </w:r>
      <w:r w:rsidR="00030E3C">
        <w:t xml:space="preserve">with Jonathan for development of materials, teaching on the module, </w:t>
      </w:r>
      <w:r>
        <w:t xml:space="preserve">for oversight of the supply of </w:t>
      </w:r>
      <w:proofErr w:type="spellStart"/>
      <w:r>
        <w:t>iPads</w:t>
      </w:r>
      <w:proofErr w:type="spellEnd"/>
      <w:r>
        <w:t>, liaison with stud</w:t>
      </w:r>
      <w:r w:rsidR="00A259DD">
        <w:t>ents, collation of project data and</w:t>
      </w:r>
      <w:r>
        <w:t xml:space="preserve"> dissemination of findings.</w:t>
      </w:r>
    </w:p>
    <w:p w:rsidR="00A259DD" w:rsidRPr="00A259DD" w:rsidRDefault="00A259DD" w:rsidP="00433B7D">
      <w:pPr>
        <w:pStyle w:val="Heading3"/>
        <w:rPr>
          <w:color w:val="auto"/>
          <w:kern w:val="0"/>
        </w:rPr>
      </w:pPr>
      <w:r w:rsidRPr="00A259DD">
        <w:t>Technical consultants</w:t>
      </w:r>
    </w:p>
    <w:p w:rsidR="003B5C17" w:rsidRDefault="00A259DD" w:rsidP="0022415A">
      <w:pPr>
        <w:pStyle w:val="ListParagraph"/>
        <w:tabs>
          <w:tab w:val="left" w:pos="709"/>
        </w:tabs>
      </w:pPr>
      <w:proofErr w:type="gramStart"/>
      <w:r>
        <w:t>As appro</w:t>
      </w:r>
      <w:r w:rsidR="001D6E4D">
        <w:t xml:space="preserve">priate, </w:t>
      </w:r>
      <w:proofErr w:type="spellStart"/>
      <w:r w:rsidR="001D6E4D">
        <w:t>eg</w:t>
      </w:r>
      <w:proofErr w:type="spellEnd"/>
      <w:r w:rsidR="001D6E4D">
        <w:t xml:space="preserve"> for apps development for the </w:t>
      </w:r>
      <w:proofErr w:type="spellStart"/>
      <w:r w:rsidR="001D6E4D">
        <w:t>iPad</w:t>
      </w:r>
      <w:proofErr w:type="spellEnd"/>
      <w:r w:rsidR="001D6E4D">
        <w:t>.</w:t>
      </w:r>
      <w:proofErr w:type="gramEnd"/>
    </w:p>
    <w:p w:rsidR="001C78A3" w:rsidRDefault="001C78A3"/>
    <w:p w:rsidR="001C78A3" w:rsidRDefault="0073780B" w:rsidP="00433B7D">
      <w:pPr>
        <w:pStyle w:val="Heading1"/>
      </w:pPr>
      <w:r>
        <w:t>7</w:t>
      </w:r>
      <w:r w:rsidR="003B5C17">
        <w:t>.</w:t>
      </w:r>
      <w:r w:rsidR="003B5C17">
        <w:tab/>
      </w:r>
      <w:r w:rsidR="001C78A3">
        <w:t>Contact details of principal researcher</w:t>
      </w:r>
    </w:p>
    <w:p w:rsidR="001C78A3" w:rsidRDefault="001C78A3">
      <w:r>
        <w:t>Jonathan Bainbridge, Northumbria Law School.</w:t>
      </w:r>
    </w:p>
    <w:p w:rsidR="001C78A3" w:rsidRDefault="001C78A3">
      <w:r>
        <w:t xml:space="preserve">Email: </w:t>
      </w:r>
      <w:hyperlink r:id="rId8" w:history="1">
        <w:r w:rsidR="001D6E4D" w:rsidRPr="003E1A95">
          <w:rPr>
            <w:rStyle w:val="Hyperlink"/>
          </w:rPr>
          <w:t>jonathan.bainbridge@northumbria.ac.uk</w:t>
        </w:r>
      </w:hyperlink>
      <w:r w:rsidR="001D6E4D">
        <w:t xml:space="preserve"> </w:t>
      </w:r>
    </w:p>
    <w:p w:rsidR="001C78A3" w:rsidRDefault="001C78A3"/>
    <w:p w:rsidR="001C78A3" w:rsidRDefault="0073780B" w:rsidP="00433B7D">
      <w:pPr>
        <w:pStyle w:val="Heading1"/>
      </w:pPr>
      <w:r>
        <w:t>8</w:t>
      </w:r>
      <w:r w:rsidR="00296F37">
        <w:t>.</w:t>
      </w:r>
      <w:r w:rsidR="00296F37">
        <w:tab/>
      </w:r>
      <w:r w:rsidR="00EF052C">
        <w:t xml:space="preserve">Contact details of </w:t>
      </w:r>
      <w:r w:rsidR="00E633BE">
        <w:t>r</w:t>
      </w:r>
      <w:r w:rsidR="001C78A3">
        <w:t>eferee:</w:t>
      </w:r>
    </w:p>
    <w:p w:rsidR="001C78A3" w:rsidRDefault="001C78A3">
      <w:proofErr w:type="gramStart"/>
      <w:r>
        <w:t>Ms Karen Barton, Senior Lecturer, Law School, University of Strathclyde.</w:t>
      </w:r>
      <w:proofErr w:type="gramEnd"/>
    </w:p>
    <w:p w:rsidR="00296F37" w:rsidRDefault="00795672">
      <w:r>
        <w:t xml:space="preserve">Email: </w:t>
      </w:r>
      <w:hyperlink r:id="rId9" w:history="1">
        <w:r w:rsidRPr="003E1A95">
          <w:rPr>
            <w:rStyle w:val="Hyperlink"/>
          </w:rPr>
          <w:t>karen.barton@strath.ac.uk</w:t>
        </w:r>
      </w:hyperlink>
      <w:r>
        <w:t xml:space="preserve"> </w:t>
      </w:r>
    </w:p>
    <w:p w:rsidR="00296F37" w:rsidRDefault="00296F37"/>
    <w:p w:rsidR="00296F37" w:rsidRDefault="0073780B" w:rsidP="00433B7D">
      <w:pPr>
        <w:pStyle w:val="Heading1"/>
      </w:pPr>
      <w:r>
        <w:t>9</w:t>
      </w:r>
      <w:r w:rsidR="00296F37">
        <w:t>.</w:t>
      </w:r>
      <w:r w:rsidR="00296F37">
        <w:tab/>
        <w:t>References</w:t>
      </w:r>
    </w:p>
    <w:p w:rsidR="0086493C" w:rsidRPr="0086493C" w:rsidRDefault="0086493C" w:rsidP="0086493C">
      <w:pPr>
        <w:tabs>
          <w:tab w:val="num" w:pos="709"/>
        </w:tabs>
        <w:ind w:left="709" w:hanging="709"/>
        <w:rPr>
          <w:rFonts w:cs="Arial"/>
          <w:bCs/>
        </w:rPr>
      </w:pPr>
      <w:r>
        <w:rPr>
          <w:rFonts w:cs="Arial"/>
          <w:bCs/>
        </w:rPr>
        <w:t xml:space="preserve">Barton, K., McKellar, P., </w:t>
      </w:r>
      <w:proofErr w:type="spellStart"/>
      <w:r>
        <w:rPr>
          <w:rFonts w:cs="Arial"/>
          <w:bCs/>
        </w:rPr>
        <w:t>Maharg</w:t>
      </w:r>
      <w:proofErr w:type="spellEnd"/>
      <w:r>
        <w:rPr>
          <w:rFonts w:cs="Arial"/>
          <w:bCs/>
        </w:rPr>
        <w:t xml:space="preserve">, P. (2007). Authentic fictions: simulation, professionalism and legal learning, </w:t>
      </w:r>
      <w:r>
        <w:rPr>
          <w:rFonts w:cs="Arial"/>
          <w:bCs/>
          <w:i/>
        </w:rPr>
        <w:t>Clinical Law Review</w:t>
      </w:r>
      <w:r>
        <w:rPr>
          <w:rFonts w:cs="Arial"/>
          <w:bCs/>
        </w:rPr>
        <w:t>, 14, 1, 143-93.</w:t>
      </w:r>
    </w:p>
    <w:p w:rsidR="00602890" w:rsidRPr="004E3814" w:rsidRDefault="00602890" w:rsidP="006028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pPr>
      <w:proofErr w:type="spellStart"/>
      <w:r w:rsidRPr="004E3814">
        <w:rPr>
          <w:rFonts w:cs="Helvetica"/>
          <w:szCs w:val="14"/>
          <w:lang w:val="en-US"/>
        </w:rPr>
        <w:t>Bekerman</w:t>
      </w:r>
      <w:proofErr w:type="spellEnd"/>
      <w:r w:rsidRPr="004E3814">
        <w:rPr>
          <w:rFonts w:cs="Helvetica"/>
          <w:szCs w:val="14"/>
          <w:lang w:val="en-US"/>
        </w:rPr>
        <w:t xml:space="preserve">, Z., </w:t>
      </w:r>
      <w:proofErr w:type="spellStart"/>
      <w:r w:rsidRPr="004E3814">
        <w:rPr>
          <w:rFonts w:cs="Helvetica"/>
          <w:szCs w:val="14"/>
          <w:lang w:val="en-US"/>
        </w:rPr>
        <w:t>Burbules</w:t>
      </w:r>
      <w:proofErr w:type="spellEnd"/>
      <w:r w:rsidRPr="004E3814">
        <w:rPr>
          <w:rFonts w:cs="Helvetica"/>
          <w:szCs w:val="14"/>
          <w:lang w:val="en-US"/>
        </w:rPr>
        <w:t xml:space="preserve">, N. and </w:t>
      </w:r>
      <w:proofErr w:type="spellStart"/>
      <w:r w:rsidRPr="004E3814">
        <w:rPr>
          <w:rFonts w:cs="Helvetica"/>
          <w:szCs w:val="14"/>
          <w:lang w:val="en-US"/>
        </w:rPr>
        <w:t>Silberman</w:t>
      </w:r>
      <w:proofErr w:type="spellEnd"/>
      <w:r w:rsidRPr="004E3814">
        <w:rPr>
          <w:rFonts w:cs="Helvetica"/>
          <w:szCs w:val="14"/>
          <w:lang w:val="en-US"/>
        </w:rPr>
        <w:t>-Keller, D. (2006</w:t>
      </w:r>
      <w:r w:rsidR="0086493C">
        <w:rPr>
          <w:rFonts w:cs="Helvetica"/>
          <w:szCs w:val="14"/>
          <w:lang w:val="en-US"/>
        </w:rPr>
        <w:t>.</w:t>
      </w:r>
      <w:r w:rsidRPr="004E3814">
        <w:rPr>
          <w:rFonts w:cs="Helvetica"/>
          <w:szCs w:val="14"/>
          <w:lang w:val="en-US"/>
        </w:rPr>
        <w:t xml:space="preserve">) </w:t>
      </w:r>
      <w:r>
        <w:rPr>
          <w:rFonts w:cs="Helvetica"/>
          <w:i/>
          <w:szCs w:val="14"/>
          <w:lang w:val="en-US"/>
        </w:rPr>
        <w:t>Learning in Places: The Informal Education R</w:t>
      </w:r>
      <w:r w:rsidRPr="00602890">
        <w:rPr>
          <w:rFonts w:cs="Helvetica"/>
          <w:i/>
          <w:szCs w:val="14"/>
          <w:lang w:val="en-US"/>
        </w:rPr>
        <w:t>eader</w:t>
      </w:r>
      <w:r w:rsidRPr="004E3814">
        <w:rPr>
          <w:rFonts w:cs="Helvetica"/>
          <w:szCs w:val="14"/>
          <w:lang w:val="en-US"/>
        </w:rPr>
        <w:t xml:space="preserve">, New York, </w:t>
      </w:r>
      <w:proofErr w:type="gramStart"/>
      <w:r w:rsidRPr="004E3814">
        <w:rPr>
          <w:rFonts w:cs="Helvetica"/>
          <w:szCs w:val="14"/>
          <w:lang w:val="en-US"/>
        </w:rPr>
        <w:t>Peter</w:t>
      </w:r>
      <w:proofErr w:type="gramEnd"/>
      <w:r w:rsidRPr="004E3814">
        <w:rPr>
          <w:rFonts w:cs="Helvetica"/>
          <w:szCs w:val="14"/>
          <w:lang w:val="en-US"/>
        </w:rPr>
        <w:t xml:space="preserve"> Lang.</w:t>
      </w:r>
    </w:p>
    <w:p w:rsidR="00997F1F" w:rsidRPr="004E3814" w:rsidRDefault="00997F1F" w:rsidP="004E3814">
      <w:pPr>
        <w:ind w:left="709" w:hanging="709"/>
      </w:pPr>
      <w:proofErr w:type="gramStart"/>
      <w:r w:rsidRPr="004E3814">
        <w:t>Dewey, J. (1916/2004).</w:t>
      </w:r>
      <w:proofErr w:type="gramEnd"/>
      <w:r w:rsidRPr="004E3814">
        <w:t xml:space="preserve">  </w:t>
      </w:r>
      <w:r w:rsidRPr="004E3814">
        <w:rPr>
          <w:i/>
        </w:rPr>
        <w:t>Democracy and Education: An Introduction to the Philosophy of Education</w:t>
      </w:r>
      <w:r w:rsidRPr="004E3814">
        <w:t xml:space="preserve">.  </w:t>
      </w:r>
      <w:proofErr w:type="gramStart"/>
      <w:r w:rsidRPr="004E3814">
        <w:t>Dover Publications, New York.</w:t>
      </w:r>
      <w:proofErr w:type="gramEnd"/>
      <w:r w:rsidRPr="004E3814">
        <w:t xml:space="preserve"> </w:t>
      </w:r>
    </w:p>
    <w:p w:rsidR="00EB3EFD" w:rsidRPr="004E3814" w:rsidRDefault="00EB3EFD" w:rsidP="004E3814">
      <w:pPr>
        <w:ind w:left="709" w:hanging="709"/>
      </w:pPr>
      <w:proofErr w:type="spellStart"/>
      <w:r w:rsidRPr="004E3814">
        <w:t>Ellawy</w:t>
      </w:r>
      <w:proofErr w:type="spellEnd"/>
      <w:r w:rsidRPr="004E3814">
        <w:t xml:space="preserve">, R., Masters, K. (2008).  AMEE Guide 32: e-Learning in medical education Part 1: learning, teaching and assessment.  </w:t>
      </w:r>
      <w:proofErr w:type="gramStart"/>
      <w:r w:rsidRPr="004E3814">
        <w:rPr>
          <w:i/>
        </w:rPr>
        <w:t>Medical Teacher</w:t>
      </w:r>
      <w:r w:rsidRPr="004E3814">
        <w:t>, 30(5), 455-73.</w:t>
      </w:r>
      <w:proofErr w:type="gramEnd"/>
      <w:r w:rsidRPr="004E3814">
        <w:t xml:space="preserve"> </w:t>
      </w:r>
    </w:p>
    <w:p w:rsidR="00B65097" w:rsidRPr="004E3814" w:rsidRDefault="00B65097" w:rsidP="004E3814">
      <w:pPr>
        <w:ind w:left="709" w:hanging="709"/>
      </w:pPr>
      <w:proofErr w:type="spellStart"/>
      <w:r w:rsidRPr="004E3814">
        <w:t>Latour</w:t>
      </w:r>
      <w:proofErr w:type="spellEnd"/>
      <w:r w:rsidRPr="004E3814">
        <w:t xml:space="preserve">, B. (2005).  </w:t>
      </w:r>
      <w:r w:rsidRPr="004E3814">
        <w:rPr>
          <w:i/>
        </w:rPr>
        <w:t xml:space="preserve">Reassembling the Social.  </w:t>
      </w:r>
      <w:proofErr w:type="gramStart"/>
      <w:r w:rsidRPr="004E3814">
        <w:rPr>
          <w:i/>
        </w:rPr>
        <w:t>An Introduction to Actor-Network-Theory.</w:t>
      </w:r>
      <w:proofErr w:type="gramEnd"/>
      <w:r w:rsidRPr="004E3814">
        <w:t xml:space="preserve">  </w:t>
      </w:r>
      <w:proofErr w:type="gramStart"/>
      <w:r w:rsidRPr="004E3814">
        <w:t>Oxford University Press, Oxford.</w:t>
      </w:r>
      <w:proofErr w:type="gramEnd"/>
    </w:p>
    <w:p w:rsidR="0024460A" w:rsidRPr="004E3814" w:rsidRDefault="0024460A" w:rsidP="004E3814">
      <w:pPr>
        <w:ind w:left="709" w:hanging="709"/>
      </w:pPr>
      <w:proofErr w:type="spellStart"/>
      <w:r w:rsidRPr="004E3814">
        <w:t>Maharg</w:t>
      </w:r>
      <w:proofErr w:type="spellEnd"/>
      <w:r w:rsidRPr="004E3814">
        <w:t>, P. (2007)</w:t>
      </w:r>
      <w:r w:rsidR="00B65097" w:rsidRPr="004E3814">
        <w:t>.</w:t>
      </w:r>
      <w:r w:rsidRPr="004E3814">
        <w:t xml:space="preserve"> </w:t>
      </w:r>
      <w:r w:rsidRPr="004E3814">
        <w:rPr>
          <w:i/>
        </w:rPr>
        <w:t xml:space="preserve">Transforming Legal Education.  </w:t>
      </w:r>
      <w:proofErr w:type="gramStart"/>
      <w:r w:rsidRPr="004E3814">
        <w:rPr>
          <w:i/>
        </w:rPr>
        <w:t>Learning and Teaching the Law in the Early Twenty-first Century</w:t>
      </w:r>
      <w:r w:rsidR="00941F95" w:rsidRPr="004E3814">
        <w:t>.</w:t>
      </w:r>
      <w:proofErr w:type="gramEnd"/>
      <w:r w:rsidR="00941F95" w:rsidRPr="004E3814">
        <w:t xml:space="preserve">  </w:t>
      </w:r>
      <w:proofErr w:type="spellStart"/>
      <w:r w:rsidR="00941F95" w:rsidRPr="004E3814">
        <w:t>Ashgat</w:t>
      </w:r>
      <w:r w:rsidRPr="004E3814">
        <w:t>e</w:t>
      </w:r>
      <w:proofErr w:type="spellEnd"/>
      <w:r w:rsidRPr="004E3814">
        <w:t xml:space="preserve"> Publishing, Aldershot. </w:t>
      </w:r>
    </w:p>
    <w:p w:rsidR="003B15A1" w:rsidRPr="004E3814" w:rsidRDefault="003B15A1" w:rsidP="004E38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pPr>
      <w:r w:rsidRPr="004E3814">
        <w:rPr>
          <w:rFonts w:cs="Helvetica"/>
          <w:szCs w:val="14"/>
          <w:lang w:val="en-US"/>
        </w:rPr>
        <w:t xml:space="preserve">McFarlane, A., </w:t>
      </w:r>
      <w:proofErr w:type="spellStart"/>
      <w:r w:rsidRPr="004E3814">
        <w:rPr>
          <w:rFonts w:cs="Helvetica"/>
          <w:szCs w:val="14"/>
          <w:lang w:val="en-US"/>
        </w:rPr>
        <w:t>Triggs</w:t>
      </w:r>
      <w:proofErr w:type="spellEnd"/>
      <w:r w:rsidRPr="004E3814">
        <w:rPr>
          <w:rFonts w:cs="Helvetica"/>
          <w:szCs w:val="14"/>
          <w:lang w:val="en-US"/>
        </w:rPr>
        <w:t xml:space="preserve">, P. and Yee, W. (2008). </w:t>
      </w:r>
      <w:proofErr w:type="gramStart"/>
      <w:r w:rsidRPr="004E3814">
        <w:rPr>
          <w:rFonts w:cs="Helvetica"/>
          <w:szCs w:val="14"/>
          <w:lang w:val="en-US"/>
        </w:rPr>
        <w:t>1:1 access to mobile learning devices.</w:t>
      </w:r>
      <w:proofErr w:type="gramEnd"/>
      <w:r w:rsidRPr="004E3814">
        <w:rPr>
          <w:rFonts w:cs="Helvetica"/>
          <w:szCs w:val="14"/>
          <w:lang w:val="en-US"/>
        </w:rPr>
        <w:t xml:space="preserve"> Researching mobile learning - Interim report to </w:t>
      </w:r>
      <w:proofErr w:type="spellStart"/>
      <w:r w:rsidRPr="004E3814">
        <w:rPr>
          <w:rFonts w:cs="Helvetica"/>
          <w:szCs w:val="14"/>
          <w:lang w:val="en-US"/>
        </w:rPr>
        <w:t>Becta</w:t>
      </w:r>
      <w:proofErr w:type="spellEnd"/>
      <w:r w:rsidRPr="004E3814">
        <w:rPr>
          <w:rFonts w:cs="Helvetica"/>
          <w:szCs w:val="14"/>
          <w:lang w:val="en-US"/>
        </w:rPr>
        <w:t xml:space="preserve">. </w:t>
      </w:r>
      <w:r w:rsidR="004E3814">
        <w:rPr>
          <w:rFonts w:cs="Helvetica"/>
          <w:szCs w:val="14"/>
          <w:lang w:val="en-US"/>
        </w:rPr>
        <w:t>Available at:</w:t>
      </w:r>
      <w:r w:rsidRPr="004E3814">
        <w:rPr>
          <w:rFonts w:cs="Helvetica"/>
          <w:szCs w:val="14"/>
          <w:lang w:val="en-US"/>
        </w:rPr>
        <w:t xml:space="preserve"> </w:t>
      </w:r>
      <w:hyperlink r:id="rId10" w:history="1">
        <w:r w:rsidR="004E3814" w:rsidRPr="003E1A95">
          <w:rPr>
            <w:rStyle w:val="Hyperlink"/>
            <w:rFonts w:cs="Helvetica"/>
            <w:szCs w:val="14"/>
            <w:lang w:val="en-US"/>
          </w:rPr>
          <w:t>http://partners.becta.org.uk/upload- dir/downloads/</w:t>
        </w:r>
        <w:proofErr w:type="spellStart"/>
        <w:r w:rsidR="004E3814" w:rsidRPr="003E1A95">
          <w:rPr>
            <w:rStyle w:val="Hyperlink"/>
            <w:rFonts w:cs="Helvetica"/>
            <w:szCs w:val="14"/>
            <w:lang w:val="en-US"/>
          </w:rPr>
          <w:t>page_documents/research/mobile_learning.pdf</w:t>
        </w:r>
        <w:proofErr w:type="spellEnd"/>
      </w:hyperlink>
      <w:r w:rsidR="004E3814">
        <w:rPr>
          <w:rFonts w:cs="Helvetica"/>
          <w:szCs w:val="14"/>
          <w:lang w:val="en-US"/>
        </w:rPr>
        <w:t>.  Last accessed: 2.2.11.</w:t>
      </w:r>
    </w:p>
    <w:p w:rsidR="00011A44" w:rsidRPr="004E3814" w:rsidRDefault="00011A44" w:rsidP="004E38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pPr>
      <w:r w:rsidRPr="004E3814">
        <w:t xml:space="preserve">O’Malley, C., </w:t>
      </w:r>
      <w:proofErr w:type="spellStart"/>
      <w:r w:rsidRPr="004E3814">
        <w:t>Vavoula</w:t>
      </w:r>
      <w:proofErr w:type="spellEnd"/>
      <w:r w:rsidRPr="004E3814">
        <w:t xml:space="preserve">, G., Flew, J.P., Taylor, J., </w:t>
      </w:r>
      <w:proofErr w:type="spellStart"/>
      <w:r w:rsidRPr="004E3814">
        <w:t>Sharples</w:t>
      </w:r>
      <w:proofErr w:type="spellEnd"/>
      <w:r w:rsidRPr="004E3814">
        <w:t xml:space="preserve">, M., </w:t>
      </w:r>
      <w:proofErr w:type="spellStart"/>
      <w:r w:rsidRPr="004E3814">
        <w:t>Lefrere</w:t>
      </w:r>
      <w:proofErr w:type="spellEnd"/>
      <w:r w:rsidRPr="004E3814">
        <w:t xml:space="preserve">, P. (2003) </w:t>
      </w:r>
      <w:proofErr w:type="spellStart"/>
      <w:r w:rsidRPr="004E3814">
        <w:t>MOBIlearn</w:t>
      </w:r>
      <w:proofErr w:type="spellEnd"/>
      <w:r w:rsidRPr="004E3814">
        <w:t xml:space="preserve">: WP 4 – Guidelines for Learning/Teaching/Tutoring in a Mobile Environment.  Available at: </w:t>
      </w:r>
      <w:hyperlink r:id="rId11" w:history="1">
        <w:r w:rsidRPr="004E3814">
          <w:rPr>
            <w:rStyle w:val="Hyperlink"/>
            <w:color w:val="auto"/>
          </w:rPr>
          <w:t>http://www.mobilearn.org/download/results/guidelines.pdf</w:t>
        </w:r>
      </w:hyperlink>
      <w:proofErr w:type="gramStart"/>
      <w:r w:rsidR="004E3814">
        <w:t xml:space="preserve"> </w:t>
      </w:r>
      <w:r w:rsidRPr="004E3814">
        <w:t xml:space="preserve"> Last</w:t>
      </w:r>
      <w:proofErr w:type="gramEnd"/>
      <w:r w:rsidRPr="004E3814">
        <w:t xml:space="preserve"> accessed: 2.2.11.</w:t>
      </w:r>
    </w:p>
    <w:p w:rsidR="00B65097" w:rsidRPr="004E3814" w:rsidRDefault="00B650AD" w:rsidP="004E38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pPr>
      <w:proofErr w:type="spellStart"/>
      <w:proofErr w:type="gramStart"/>
      <w:r w:rsidRPr="004E3814">
        <w:rPr>
          <w:rFonts w:cs="Helvetica"/>
          <w:szCs w:val="14"/>
          <w:lang w:val="en-US"/>
        </w:rPr>
        <w:t>Sharples</w:t>
      </w:r>
      <w:proofErr w:type="spellEnd"/>
      <w:r w:rsidRPr="004E3814">
        <w:rPr>
          <w:rFonts w:cs="Helvetica"/>
          <w:szCs w:val="14"/>
          <w:lang w:val="en-US"/>
        </w:rPr>
        <w:t xml:space="preserve">, M., M. </w:t>
      </w:r>
      <w:proofErr w:type="spellStart"/>
      <w:r w:rsidRPr="004E3814">
        <w:rPr>
          <w:rFonts w:cs="Helvetica"/>
          <w:szCs w:val="14"/>
          <w:lang w:val="en-US"/>
        </w:rPr>
        <w:t>Milrad</w:t>
      </w:r>
      <w:proofErr w:type="spellEnd"/>
      <w:r w:rsidRPr="004E3814">
        <w:rPr>
          <w:rFonts w:cs="Helvetica"/>
          <w:szCs w:val="14"/>
          <w:lang w:val="en-US"/>
        </w:rPr>
        <w:t xml:space="preserve">, I. </w:t>
      </w:r>
      <w:proofErr w:type="spellStart"/>
      <w:r w:rsidRPr="004E3814">
        <w:rPr>
          <w:rFonts w:cs="Helvetica"/>
          <w:szCs w:val="14"/>
          <w:lang w:val="en-US"/>
        </w:rPr>
        <w:t>Arnedillo</w:t>
      </w:r>
      <w:proofErr w:type="spellEnd"/>
      <w:r w:rsidRPr="004E3814">
        <w:rPr>
          <w:rFonts w:cs="Helvetica"/>
          <w:szCs w:val="14"/>
          <w:lang w:val="en-US"/>
        </w:rPr>
        <w:t xml:space="preserve"> </w:t>
      </w:r>
      <w:proofErr w:type="spellStart"/>
      <w:r w:rsidRPr="004E3814">
        <w:rPr>
          <w:rFonts w:cs="Helvetica"/>
          <w:szCs w:val="14"/>
          <w:lang w:val="en-US"/>
        </w:rPr>
        <w:t>Sánchez</w:t>
      </w:r>
      <w:proofErr w:type="spellEnd"/>
      <w:r w:rsidRPr="004E3814">
        <w:rPr>
          <w:rFonts w:cs="Helvetica"/>
          <w:szCs w:val="14"/>
          <w:lang w:val="en-US"/>
        </w:rPr>
        <w:t xml:space="preserve"> and </w:t>
      </w:r>
      <w:proofErr w:type="spellStart"/>
      <w:r w:rsidRPr="004E3814">
        <w:rPr>
          <w:rFonts w:cs="Helvetica"/>
          <w:szCs w:val="14"/>
          <w:lang w:val="en-US"/>
        </w:rPr>
        <w:t>Vavoula</w:t>
      </w:r>
      <w:proofErr w:type="spellEnd"/>
      <w:r w:rsidRPr="004E3814">
        <w:rPr>
          <w:rFonts w:cs="Helvetica"/>
          <w:szCs w:val="14"/>
          <w:lang w:val="en-US"/>
        </w:rPr>
        <w:t>, G. (2009).</w:t>
      </w:r>
      <w:proofErr w:type="gramEnd"/>
      <w:r w:rsidR="004F56C6" w:rsidRPr="004E3814">
        <w:rPr>
          <w:rFonts w:cs="Helvetica"/>
          <w:szCs w:val="14"/>
          <w:lang w:val="en-US"/>
        </w:rPr>
        <w:t xml:space="preserve"> </w:t>
      </w:r>
      <w:r w:rsidRPr="004E3814">
        <w:rPr>
          <w:rFonts w:cs="Helvetica"/>
          <w:szCs w:val="14"/>
          <w:lang w:val="en-US"/>
        </w:rPr>
        <w:t xml:space="preserve">Mobile Learning: Small devices, Big Issues. In: Technology Enhanced Learning: Principles and Products. N. </w:t>
      </w:r>
      <w:proofErr w:type="spellStart"/>
      <w:r w:rsidRPr="004E3814">
        <w:rPr>
          <w:rFonts w:cs="Helvetica"/>
          <w:szCs w:val="14"/>
          <w:lang w:val="en-US"/>
        </w:rPr>
        <w:t>Balacheff</w:t>
      </w:r>
      <w:proofErr w:type="spellEnd"/>
      <w:r w:rsidRPr="004E3814">
        <w:rPr>
          <w:rFonts w:cs="Helvetica"/>
          <w:szCs w:val="14"/>
          <w:lang w:val="en-US"/>
        </w:rPr>
        <w:t xml:space="preserve">, S. </w:t>
      </w:r>
      <w:proofErr w:type="spellStart"/>
      <w:r w:rsidRPr="004E3814">
        <w:rPr>
          <w:rFonts w:cs="Helvetica"/>
          <w:szCs w:val="14"/>
          <w:lang w:val="en-US"/>
        </w:rPr>
        <w:t>Ludvigsen</w:t>
      </w:r>
      <w:proofErr w:type="spellEnd"/>
      <w:r w:rsidRPr="004E3814">
        <w:rPr>
          <w:rFonts w:cs="Helvetica"/>
          <w:szCs w:val="14"/>
          <w:lang w:val="en-US"/>
        </w:rPr>
        <w:t xml:space="preserve">, T. d. </w:t>
      </w:r>
      <w:proofErr w:type="spellStart"/>
      <w:r w:rsidRPr="004E3814">
        <w:rPr>
          <w:rFonts w:cs="Helvetica"/>
          <w:szCs w:val="14"/>
          <w:lang w:val="en-US"/>
        </w:rPr>
        <w:t>Jong</w:t>
      </w:r>
      <w:proofErr w:type="spellEnd"/>
      <w:r w:rsidRPr="004E3814">
        <w:rPr>
          <w:rFonts w:cs="Helvetica"/>
          <w:szCs w:val="14"/>
          <w:lang w:val="en-US"/>
        </w:rPr>
        <w:t xml:space="preserve">, A. </w:t>
      </w:r>
      <w:proofErr w:type="spellStart"/>
      <w:r w:rsidRPr="004E3814">
        <w:rPr>
          <w:rFonts w:cs="Helvetica"/>
          <w:szCs w:val="14"/>
          <w:lang w:val="en-US"/>
        </w:rPr>
        <w:t>Lazonder</w:t>
      </w:r>
      <w:proofErr w:type="spellEnd"/>
      <w:r w:rsidRPr="004E3814">
        <w:rPr>
          <w:rFonts w:cs="Helvetica"/>
          <w:szCs w:val="14"/>
          <w:lang w:val="en-US"/>
        </w:rPr>
        <w:t xml:space="preserve"> and S. Barnes</w:t>
      </w:r>
      <w:proofErr w:type="gramStart"/>
      <w:r w:rsidRPr="004E3814">
        <w:rPr>
          <w:rFonts w:cs="Helvetica"/>
          <w:szCs w:val="14"/>
          <w:lang w:val="en-US"/>
        </w:rPr>
        <w:t>,(</w:t>
      </w:r>
      <w:proofErr w:type="gramEnd"/>
      <w:r w:rsidRPr="004E3814">
        <w:rPr>
          <w:rFonts w:cs="Helvetica"/>
          <w:szCs w:val="14"/>
          <w:lang w:val="en-US"/>
        </w:rPr>
        <w:t>eds). Heidelberg, Springer: pp 233-249.</w:t>
      </w:r>
    </w:p>
    <w:p w:rsidR="00B65097" w:rsidRPr="00602890" w:rsidRDefault="00602890" w:rsidP="004E3814">
      <w:pPr>
        <w:ind w:left="709" w:hanging="709"/>
      </w:pPr>
      <w:proofErr w:type="spellStart"/>
      <w:r>
        <w:rPr>
          <w:rFonts w:cs="Verdana"/>
          <w:szCs w:val="24"/>
          <w:lang w:val="en-US"/>
        </w:rPr>
        <w:t>Vavoula</w:t>
      </w:r>
      <w:proofErr w:type="spellEnd"/>
      <w:r>
        <w:rPr>
          <w:rFonts w:cs="Verdana"/>
          <w:szCs w:val="24"/>
          <w:lang w:val="en-US"/>
        </w:rPr>
        <w:t xml:space="preserve">, G., </w:t>
      </w:r>
      <w:proofErr w:type="spellStart"/>
      <w:r>
        <w:rPr>
          <w:rFonts w:cs="Verdana"/>
          <w:szCs w:val="24"/>
          <w:lang w:val="en-US"/>
        </w:rPr>
        <w:t>Pachler</w:t>
      </w:r>
      <w:proofErr w:type="spellEnd"/>
      <w:r>
        <w:rPr>
          <w:rFonts w:cs="Verdana"/>
          <w:szCs w:val="24"/>
          <w:lang w:val="en-US"/>
        </w:rPr>
        <w:t xml:space="preserve">, N., </w:t>
      </w:r>
      <w:proofErr w:type="spellStart"/>
      <w:r>
        <w:rPr>
          <w:rFonts w:cs="Verdana"/>
          <w:szCs w:val="24"/>
          <w:lang w:val="en-US"/>
        </w:rPr>
        <w:t>Kukulska-Hulme</w:t>
      </w:r>
      <w:proofErr w:type="spellEnd"/>
      <w:r>
        <w:rPr>
          <w:rFonts w:cs="Verdana"/>
          <w:szCs w:val="24"/>
          <w:lang w:val="en-US"/>
        </w:rPr>
        <w:t>, A.</w:t>
      </w:r>
      <w:r w:rsidRPr="00602890">
        <w:rPr>
          <w:rFonts w:cs="Verdana"/>
          <w:szCs w:val="24"/>
          <w:lang w:val="en-US"/>
        </w:rPr>
        <w:t xml:space="preserve"> </w:t>
      </w:r>
      <w:proofErr w:type="gramStart"/>
      <w:r w:rsidRPr="00602890">
        <w:rPr>
          <w:rFonts w:cs="Verdana"/>
          <w:szCs w:val="24"/>
          <w:lang w:val="en-US"/>
        </w:rPr>
        <w:t>eds</w:t>
      </w:r>
      <w:proofErr w:type="gramEnd"/>
      <w:r w:rsidRPr="00602890">
        <w:rPr>
          <w:rFonts w:cs="Verdana"/>
          <w:szCs w:val="24"/>
          <w:lang w:val="en-US"/>
        </w:rPr>
        <w:t xml:space="preserve">. (2009). </w:t>
      </w:r>
      <w:r>
        <w:rPr>
          <w:rFonts w:cs="Verdana"/>
          <w:i/>
          <w:iCs/>
          <w:szCs w:val="24"/>
          <w:lang w:val="en-US"/>
        </w:rPr>
        <w:t>Researching Mobile Learning: Frameworks, Tools and Research D</w:t>
      </w:r>
      <w:r w:rsidRPr="00602890">
        <w:rPr>
          <w:rFonts w:cs="Verdana"/>
          <w:i/>
          <w:iCs/>
          <w:szCs w:val="24"/>
          <w:lang w:val="en-US"/>
        </w:rPr>
        <w:t>esigns.</w:t>
      </w:r>
      <w:r>
        <w:rPr>
          <w:rFonts w:cs="Verdana"/>
          <w:szCs w:val="24"/>
          <w:lang w:val="en-US"/>
        </w:rPr>
        <w:t xml:space="preserve"> Oxford, </w:t>
      </w:r>
      <w:r w:rsidRPr="00602890">
        <w:rPr>
          <w:rFonts w:cs="Verdana"/>
          <w:szCs w:val="24"/>
          <w:lang w:val="en-US"/>
        </w:rPr>
        <w:t xml:space="preserve">Peter Lang </w:t>
      </w:r>
      <w:proofErr w:type="spellStart"/>
      <w:r w:rsidRPr="00602890">
        <w:rPr>
          <w:rFonts w:cs="Verdana"/>
          <w:szCs w:val="24"/>
          <w:lang w:val="en-US"/>
        </w:rPr>
        <w:t>Verlag</w:t>
      </w:r>
      <w:proofErr w:type="spellEnd"/>
      <w:r w:rsidRPr="00602890">
        <w:rPr>
          <w:rFonts w:cs="Verdana"/>
          <w:szCs w:val="24"/>
          <w:lang w:val="en-US"/>
        </w:rPr>
        <w:t>.</w:t>
      </w:r>
    </w:p>
    <w:p w:rsidR="00B65097" w:rsidRPr="00602890" w:rsidRDefault="00B65097"/>
    <w:p w:rsidR="008E09F0" w:rsidRPr="0024460A" w:rsidRDefault="008E09F0"/>
    <w:p w:rsidR="00C91929" w:rsidRDefault="00C91929">
      <w:pPr>
        <w:rPr>
          <w:rFonts w:asciiTheme="minorHAnsi" w:hAnsiTheme="minorHAnsi" w:cstheme="minorBidi"/>
          <w:sz w:val="24"/>
          <w:szCs w:val="24"/>
          <w:lang w:val="en-US"/>
        </w:rPr>
      </w:pPr>
    </w:p>
    <w:p w:rsidR="00C91929" w:rsidRDefault="00C91929">
      <w:pPr>
        <w:rPr>
          <w:rFonts w:asciiTheme="minorHAnsi" w:hAnsiTheme="minorHAnsi" w:cstheme="minorBidi"/>
          <w:sz w:val="24"/>
          <w:szCs w:val="24"/>
          <w:lang w:val="en-US"/>
        </w:rPr>
        <w:sectPr w:rsidR="00C91929">
          <w:footerReference w:type="even" r:id="rId12"/>
          <w:footerReference w:type="default" r:id="rId13"/>
          <w:pgSz w:w="11900" w:h="16840"/>
          <w:pgMar w:top="1440" w:right="1800" w:bottom="1440" w:left="1800" w:header="708" w:footer="708" w:gutter="0"/>
          <w:cols w:space="708"/>
        </w:sectPr>
      </w:pPr>
    </w:p>
    <w:p w:rsidR="00C91929" w:rsidRDefault="00541D1C" w:rsidP="00433B7D">
      <w:pPr>
        <w:pStyle w:val="Heading1"/>
      </w:pPr>
      <w:r>
        <w:t>Appendix 1: Project timeline</w:t>
      </w:r>
    </w:p>
    <w:p w:rsidR="00F308F6" w:rsidRDefault="00F308F6">
      <w:pPr>
        <w:rPr>
          <w:rFonts w:asciiTheme="minorHAnsi" w:hAnsiTheme="minorHAnsi" w:cstheme="minorBidi"/>
          <w:noProof/>
          <w:sz w:val="24"/>
          <w:szCs w:val="24"/>
          <w:lang w:val="en-US"/>
        </w:rPr>
      </w:pPr>
      <w:r>
        <w:rPr>
          <w:rFonts w:asciiTheme="minorHAnsi" w:hAnsiTheme="minorHAnsi" w:cstheme="minorBidi"/>
          <w:noProof/>
          <w:sz w:val="24"/>
          <w:szCs w:val="24"/>
          <w:lang w:val="en-US"/>
        </w:rPr>
        <w:drawing>
          <wp:inline distT="0" distB="0" distL="0" distR="0">
            <wp:extent cx="8428990" cy="4764212"/>
            <wp:effectExtent l="2540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8428990" cy="4764212"/>
                    </a:xfrm>
                    <a:prstGeom prst="rect">
                      <a:avLst/>
                    </a:prstGeom>
                    <a:noFill/>
                    <a:ln w="9525">
                      <a:noFill/>
                      <a:miter lim="800000"/>
                      <a:headEnd/>
                      <a:tailEnd/>
                    </a:ln>
                  </pic:spPr>
                </pic:pic>
              </a:graphicData>
            </a:graphic>
          </wp:inline>
        </w:drawing>
      </w:r>
    </w:p>
    <w:p w:rsidR="00D039C4" w:rsidRDefault="00D039C4" w:rsidP="00433B7D">
      <w:pPr>
        <w:pStyle w:val="Heading1"/>
        <w:rPr>
          <w:rFonts w:asciiTheme="minorHAnsi" w:hAnsiTheme="minorHAnsi"/>
        </w:rPr>
        <w:sectPr w:rsidR="00D039C4">
          <w:pgSz w:w="16834" w:h="11904" w:orient="landscape"/>
          <w:pgMar w:top="1800" w:right="1440" w:bottom="1800" w:left="1440" w:header="708" w:footer="708" w:gutter="0"/>
          <w:cols w:space="708"/>
          <w:printerSettings r:id="rId15"/>
        </w:sectPr>
      </w:pPr>
    </w:p>
    <w:p w:rsidR="001C78A3" w:rsidRDefault="00541D1C" w:rsidP="002F094C">
      <w:pPr>
        <w:pStyle w:val="Heading1"/>
      </w:pPr>
      <w:r>
        <w:br w:type="page"/>
      </w:r>
      <w:r w:rsidR="0017244E">
        <w:t xml:space="preserve"> </w:t>
      </w:r>
      <w:r w:rsidR="00C70CF9">
        <w:rPr>
          <w:noProof/>
        </w:rPr>
        <w:drawing>
          <wp:inline distT="0" distB="0" distL="0" distR="0">
            <wp:extent cx="9057205" cy="6789843"/>
            <wp:effectExtent l="25400" t="0" r="1059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9054406" cy="6787745"/>
                    </a:xfrm>
                    <a:prstGeom prst="rect">
                      <a:avLst/>
                    </a:prstGeom>
                    <a:noFill/>
                    <a:ln w="9525">
                      <a:noFill/>
                      <a:miter lim="800000"/>
                      <a:headEnd/>
                      <a:tailEnd/>
                    </a:ln>
                  </pic:spPr>
                </pic:pic>
              </a:graphicData>
            </a:graphic>
          </wp:inline>
        </w:drawing>
      </w:r>
      <w:r w:rsidR="005C3958">
        <w:rPr>
          <w:noProof/>
        </w:rPr>
        <w:pict>
          <v:shapetype id="_x0000_t202" coordsize="21600,21600" o:spt="202" path="m0,0l0,21600,21600,21600,21600,0xe">
            <v:stroke joinstyle="miter"/>
            <v:path gradientshapeok="t" o:connecttype="rect"/>
          </v:shapetype>
          <v:shape id="_x0000_s1028" type="#_x0000_t202" style="position:absolute;margin-left:738pt;margin-top:0;width:54pt;height:234pt;z-index:251658240;mso-wrap-edited:f;mso-position-horizontal:absolute;mso-position-horizontal-relative:text;mso-position-vertical:absolute;mso-position-vertical-relative:text" wrapcoords="0 0 21600 0 21600 21600 0 21600 0 0" filled="f" stroked="f">
            <v:fill o:detectmouseclick="t"/>
            <v:textbox style="layout-flow:vertical;mso-next-textbox:#_x0000_s1028" inset=",7.2pt,,7.2pt">
              <w:txbxContent>
                <w:p w:rsidR="0017244E" w:rsidRPr="00715075" w:rsidRDefault="0017244E">
                  <w:pPr>
                    <w:rPr>
                      <w:b/>
                      <w:color w:val="1F497D" w:themeColor="text2"/>
                      <w:sz w:val="32"/>
                    </w:rPr>
                  </w:pPr>
                  <w:r w:rsidRPr="00715075">
                    <w:rPr>
                      <w:b/>
                      <w:color w:val="1F497D" w:themeColor="text2"/>
                      <w:sz w:val="32"/>
                    </w:rPr>
                    <w:t>Appendix 2: Basic simulation design outline</w:t>
                  </w:r>
                </w:p>
              </w:txbxContent>
            </v:textbox>
            <w10:wrap type="tight"/>
          </v:shape>
        </w:pict>
      </w:r>
    </w:p>
    <w:sectPr w:rsidR="001C78A3" w:rsidSect="00C70CF9">
      <w:pgSz w:w="16834" w:h="11904" w:orient="landscape"/>
      <w:pgMar w:top="454" w:right="567" w:bottom="454" w:left="567" w:header="284" w:footer="284" w:gutter="0"/>
      <w:cols w:space="708"/>
      <w:printerSettings r:id="rId17"/>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4E" w:rsidRDefault="0017244E" w:rsidP="007956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244E" w:rsidRDefault="0017244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4E" w:rsidRDefault="0017244E" w:rsidP="007956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3D49">
      <w:rPr>
        <w:rStyle w:val="PageNumber"/>
        <w:noProof/>
      </w:rPr>
      <w:t>7</w:t>
    </w:r>
    <w:r>
      <w:rPr>
        <w:rStyle w:val="PageNumber"/>
      </w:rPr>
      <w:fldChar w:fldCharType="end"/>
    </w:r>
  </w:p>
  <w:p w:rsidR="0017244E" w:rsidRDefault="0017244E">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B18A6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4489472"/>
    <w:lvl w:ilvl="0">
      <w:start w:val="1"/>
      <w:numFmt w:val="decimal"/>
      <w:lvlText w:val="%1."/>
      <w:lvlJc w:val="left"/>
      <w:pPr>
        <w:tabs>
          <w:tab w:val="num" w:pos="1492"/>
        </w:tabs>
        <w:ind w:left="1492" w:hanging="360"/>
      </w:pPr>
    </w:lvl>
  </w:abstractNum>
  <w:abstractNum w:abstractNumId="2">
    <w:nsid w:val="FFFFFF7D"/>
    <w:multiLevelType w:val="singleLevel"/>
    <w:tmpl w:val="33D4A80A"/>
    <w:lvl w:ilvl="0">
      <w:start w:val="1"/>
      <w:numFmt w:val="decimal"/>
      <w:lvlText w:val="%1."/>
      <w:lvlJc w:val="left"/>
      <w:pPr>
        <w:tabs>
          <w:tab w:val="num" w:pos="1209"/>
        </w:tabs>
        <w:ind w:left="1209" w:hanging="360"/>
      </w:pPr>
    </w:lvl>
  </w:abstractNum>
  <w:abstractNum w:abstractNumId="3">
    <w:nsid w:val="FFFFFF7E"/>
    <w:multiLevelType w:val="singleLevel"/>
    <w:tmpl w:val="B6E2987C"/>
    <w:lvl w:ilvl="0">
      <w:start w:val="1"/>
      <w:numFmt w:val="decimal"/>
      <w:lvlText w:val="%1."/>
      <w:lvlJc w:val="left"/>
      <w:pPr>
        <w:tabs>
          <w:tab w:val="num" w:pos="926"/>
        </w:tabs>
        <w:ind w:left="926" w:hanging="360"/>
      </w:pPr>
    </w:lvl>
  </w:abstractNum>
  <w:abstractNum w:abstractNumId="4">
    <w:nsid w:val="FFFFFF7F"/>
    <w:multiLevelType w:val="singleLevel"/>
    <w:tmpl w:val="7FEA9BC0"/>
    <w:lvl w:ilvl="0">
      <w:start w:val="1"/>
      <w:numFmt w:val="decimal"/>
      <w:lvlText w:val="%1."/>
      <w:lvlJc w:val="left"/>
      <w:pPr>
        <w:tabs>
          <w:tab w:val="num" w:pos="643"/>
        </w:tabs>
        <w:ind w:left="643" w:hanging="360"/>
      </w:pPr>
    </w:lvl>
  </w:abstractNum>
  <w:abstractNum w:abstractNumId="5">
    <w:nsid w:val="FFFFFF80"/>
    <w:multiLevelType w:val="singleLevel"/>
    <w:tmpl w:val="29FAA98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C06F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7962B9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322157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4C83910"/>
    <w:lvl w:ilvl="0">
      <w:start w:val="1"/>
      <w:numFmt w:val="decimal"/>
      <w:lvlText w:val="%1."/>
      <w:lvlJc w:val="left"/>
      <w:pPr>
        <w:tabs>
          <w:tab w:val="num" w:pos="360"/>
        </w:tabs>
        <w:ind w:left="360" w:hanging="360"/>
      </w:pPr>
    </w:lvl>
  </w:abstractNum>
  <w:abstractNum w:abstractNumId="10">
    <w:nsid w:val="FFFFFF89"/>
    <w:multiLevelType w:val="singleLevel"/>
    <w:tmpl w:val="10608D48"/>
    <w:lvl w:ilvl="0">
      <w:start w:val="1"/>
      <w:numFmt w:val="bullet"/>
      <w:lvlText w:val=""/>
      <w:lvlJc w:val="left"/>
      <w:pPr>
        <w:tabs>
          <w:tab w:val="num" w:pos="360"/>
        </w:tabs>
        <w:ind w:left="360" w:hanging="360"/>
      </w:pPr>
      <w:rPr>
        <w:rFonts w:ascii="Symbol" w:hAnsi="Symbol" w:hint="default"/>
      </w:rPr>
    </w:lvl>
  </w:abstractNum>
  <w:abstractNum w:abstractNumId="11">
    <w:nsid w:val="03E22F3B"/>
    <w:multiLevelType w:val="hybridMultilevel"/>
    <w:tmpl w:val="6F70B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5426163"/>
    <w:multiLevelType w:val="hybridMultilevel"/>
    <w:tmpl w:val="C4D25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38A524A"/>
    <w:multiLevelType w:val="hybridMultilevel"/>
    <w:tmpl w:val="3DA8D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321245"/>
    <w:multiLevelType w:val="hybridMultilevel"/>
    <w:tmpl w:val="1108B1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C07CEC"/>
    <w:multiLevelType w:val="hybridMultilevel"/>
    <w:tmpl w:val="9B5A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237518"/>
    <w:multiLevelType w:val="hybridMultilevel"/>
    <w:tmpl w:val="3E78CD0E"/>
    <w:lvl w:ilvl="0" w:tplc="A5820D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9125FE"/>
    <w:multiLevelType w:val="hybridMultilevel"/>
    <w:tmpl w:val="839A2B9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nsid w:val="42144CD7"/>
    <w:multiLevelType w:val="hybridMultilevel"/>
    <w:tmpl w:val="1706B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E84137"/>
    <w:multiLevelType w:val="hybridMultilevel"/>
    <w:tmpl w:val="5C687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8A08F3"/>
    <w:multiLevelType w:val="hybridMultilevel"/>
    <w:tmpl w:val="E16A4AD4"/>
    <w:lvl w:ilvl="0" w:tplc="A5820D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177818"/>
    <w:multiLevelType w:val="hybridMultilevel"/>
    <w:tmpl w:val="1242C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96021D"/>
    <w:multiLevelType w:val="hybridMultilevel"/>
    <w:tmpl w:val="C4D25046"/>
    <w:lvl w:ilvl="0" w:tplc="0409000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81A53B0"/>
    <w:multiLevelType w:val="hybridMultilevel"/>
    <w:tmpl w:val="93302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23"/>
  </w:num>
  <w:num w:numId="4">
    <w:abstractNumId w:val="2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6"/>
  </w:num>
  <w:num w:numId="17">
    <w:abstractNumId w:val="15"/>
  </w:num>
  <w:num w:numId="18">
    <w:abstractNumId w:val="21"/>
  </w:num>
  <w:num w:numId="19">
    <w:abstractNumId w:val="11"/>
  </w:num>
  <w:num w:numId="20">
    <w:abstractNumId w:val="12"/>
  </w:num>
  <w:num w:numId="21">
    <w:abstractNumId w:val="22"/>
  </w:num>
  <w:num w:numId="22">
    <w:abstractNumId w:val="17"/>
  </w:num>
  <w:num w:numId="23">
    <w:abstractNumId w:val="13"/>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645C4D"/>
    <w:rsid w:val="0000693B"/>
    <w:rsid w:val="00011A44"/>
    <w:rsid w:val="00030E3C"/>
    <w:rsid w:val="000409C3"/>
    <w:rsid w:val="00044A9B"/>
    <w:rsid w:val="0007084B"/>
    <w:rsid w:val="0007734E"/>
    <w:rsid w:val="00091E4E"/>
    <w:rsid w:val="000F5D01"/>
    <w:rsid w:val="0017244E"/>
    <w:rsid w:val="001A27DC"/>
    <w:rsid w:val="001B3E61"/>
    <w:rsid w:val="001C78A3"/>
    <w:rsid w:val="001D48D6"/>
    <w:rsid w:val="001D6E4D"/>
    <w:rsid w:val="001F1C52"/>
    <w:rsid w:val="001F3A6B"/>
    <w:rsid w:val="0020567C"/>
    <w:rsid w:val="00212412"/>
    <w:rsid w:val="00212863"/>
    <w:rsid w:val="0022415A"/>
    <w:rsid w:val="00226711"/>
    <w:rsid w:val="00226CB3"/>
    <w:rsid w:val="0024460A"/>
    <w:rsid w:val="00252353"/>
    <w:rsid w:val="00263D49"/>
    <w:rsid w:val="00270DB7"/>
    <w:rsid w:val="00271E7B"/>
    <w:rsid w:val="00296F37"/>
    <w:rsid w:val="002A71C8"/>
    <w:rsid w:val="002C314F"/>
    <w:rsid w:val="002C35D1"/>
    <w:rsid w:val="002E1A6E"/>
    <w:rsid w:val="002F094C"/>
    <w:rsid w:val="003144D3"/>
    <w:rsid w:val="00373643"/>
    <w:rsid w:val="0038714A"/>
    <w:rsid w:val="003B15A1"/>
    <w:rsid w:val="003B5C17"/>
    <w:rsid w:val="003F653C"/>
    <w:rsid w:val="00433B7D"/>
    <w:rsid w:val="00474220"/>
    <w:rsid w:val="004750FE"/>
    <w:rsid w:val="00481E37"/>
    <w:rsid w:val="00487F60"/>
    <w:rsid w:val="004D69C2"/>
    <w:rsid w:val="004E3814"/>
    <w:rsid w:val="004F42A3"/>
    <w:rsid w:val="004F56C6"/>
    <w:rsid w:val="004F592F"/>
    <w:rsid w:val="00541D1C"/>
    <w:rsid w:val="00586E45"/>
    <w:rsid w:val="005C20B4"/>
    <w:rsid w:val="005C3958"/>
    <w:rsid w:val="005C56E7"/>
    <w:rsid w:val="005C5988"/>
    <w:rsid w:val="00601E69"/>
    <w:rsid w:val="00602890"/>
    <w:rsid w:val="00644D11"/>
    <w:rsid w:val="00645C4D"/>
    <w:rsid w:val="00652549"/>
    <w:rsid w:val="006B117B"/>
    <w:rsid w:val="007021CB"/>
    <w:rsid w:val="007109E6"/>
    <w:rsid w:val="00715075"/>
    <w:rsid w:val="0073780B"/>
    <w:rsid w:val="00766959"/>
    <w:rsid w:val="00774BFB"/>
    <w:rsid w:val="00783FAF"/>
    <w:rsid w:val="00795672"/>
    <w:rsid w:val="00817E1A"/>
    <w:rsid w:val="0083767D"/>
    <w:rsid w:val="0084194D"/>
    <w:rsid w:val="00856827"/>
    <w:rsid w:val="0086493C"/>
    <w:rsid w:val="008D7CA7"/>
    <w:rsid w:val="008E09F0"/>
    <w:rsid w:val="00920E94"/>
    <w:rsid w:val="00924AC8"/>
    <w:rsid w:val="00941F95"/>
    <w:rsid w:val="0095523F"/>
    <w:rsid w:val="00976DEA"/>
    <w:rsid w:val="00982556"/>
    <w:rsid w:val="00991D7C"/>
    <w:rsid w:val="00997F1F"/>
    <w:rsid w:val="009C7CAF"/>
    <w:rsid w:val="009D493E"/>
    <w:rsid w:val="00A1406F"/>
    <w:rsid w:val="00A259DD"/>
    <w:rsid w:val="00A328EE"/>
    <w:rsid w:val="00A3401A"/>
    <w:rsid w:val="00A5711B"/>
    <w:rsid w:val="00A61D7C"/>
    <w:rsid w:val="00A93F89"/>
    <w:rsid w:val="00A964D5"/>
    <w:rsid w:val="00AB2F3C"/>
    <w:rsid w:val="00AC49FB"/>
    <w:rsid w:val="00AE6895"/>
    <w:rsid w:val="00AF5D08"/>
    <w:rsid w:val="00AF6F63"/>
    <w:rsid w:val="00B37F83"/>
    <w:rsid w:val="00B524C6"/>
    <w:rsid w:val="00B52B22"/>
    <w:rsid w:val="00B61601"/>
    <w:rsid w:val="00B65097"/>
    <w:rsid w:val="00B650AD"/>
    <w:rsid w:val="00B85787"/>
    <w:rsid w:val="00BE24F2"/>
    <w:rsid w:val="00C1218B"/>
    <w:rsid w:val="00C12314"/>
    <w:rsid w:val="00C22A21"/>
    <w:rsid w:val="00C56644"/>
    <w:rsid w:val="00C70CF9"/>
    <w:rsid w:val="00C91929"/>
    <w:rsid w:val="00CC27FD"/>
    <w:rsid w:val="00CF13E8"/>
    <w:rsid w:val="00CF7928"/>
    <w:rsid w:val="00D039C4"/>
    <w:rsid w:val="00D334D6"/>
    <w:rsid w:val="00DA342D"/>
    <w:rsid w:val="00DA5D60"/>
    <w:rsid w:val="00E30F21"/>
    <w:rsid w:val="00E33372"/>
    <w:rsid w:val="00E633BE"/>
    <w:rsid w:val="00E71474"/>
    <w:rsid w:val="00E84C4E"/>
    <w:rsid w:val="00EA79C4"/>
    <w:rsid w:val="00EB23EB"/>
    <w:rsid w:val="00EB3EFD"/>
    <w:rsid w:val="00EF052C"/>
    <w:rsid w:val="00EF5ABB"/>
    <w:rsid w:val="00F00A91"/>
    <w:rsid w:val="00F10FC3"/>
    <w:rsid w:val="00F20366"/>
    <w:rsid w:val="00F308F6"/>
    <w:rsid w:val="00F65645"/>
    <w:rsid w:val="00FC7FDD"/>
    <w:rsid w:val="00FD085D"/>
  </w:rsids>
  <m:mathPr>
    <m:mathFont m:val="Abadi MT Condensed Extra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4215E"/>
    <w:rPr>
      <w:rFonts w:ascii="Calibri" w:hAnsi="Calibri" w:cs="Times New Roman"/>
      <w:sz w:val="22"/>
      <w:szCs w:val="20"/>
      <w:lang w:val="en-GB"/>
    </w:rPr>
  </w:style>
  <w:style w:type="paragraph" w:styleId="Heading1">
    <w:name w:val="heading 1"/>
    <w:basedOn w:val="Normal"/>
    <w:next w:val="Normal"/>
    <w:link w:val="Heading1Char"/>
    <w:autoRedefine/>
    <w:qFormat/>
    <w:rsid w:val="00433B7D"/>
    <w:pPr>
      <w:keepNext/>
      <w:spacing w:before="240"/>
      <w:outlineLvl w:val="0"/>
    </w:pPr>
    <w:rPr>
      <w:b/>
      <w:color w:val="1F497D" w:themeColor="text2"/>
      <w:kern w:val="28"/>
      <w:sz w:val="32"/>
      <w:lang w:val="en-US"/>
    </w:rPr>
  </w:style>
  <w:style w:type="paragraph" w:styleId="Heading2">
    <w:name w:val="heading 2"/>
    <w:basedOn w:val="Heading1"/>
    <w:next w:val="Normal"/>
    <w:link w:val="Heading2Char"/>
    <w:autoRedefine/>
    <w:qFormat/>
    <w:rsid w:val="003B5C17"/>
    <w:pPr>
      <w:outlineLvl w:val="1"/>
    </w:pPr>
    <w:rPr>
      <w:b w:val="0"/>
      <w:sz w:val="28"/>
    </w:rPr>
  </w:style>
  <w:style w:type="paragraph" w:styleId="Heading3">
    <w:name w:val="heading 3"/>
    <w:basedOn w:val="Heading2"/>
    <w:next w:val="Normal"/>
    <w:link w:val="Heading3Char"/>
    <w:autoRedefine/>
    <w:qFormat/>
    <w:rsid w:val="003F653C"/>
    <w:pPr>
      <w:outlineLvl w:val="2"/>
    </w:pPr>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autoRedefine/>
    <w:rsid w:val="000A6F03"/>
    <w:pPr>
      <w:widowControl w:val="0"/>
      <w:autoSpaceDE w:val="0"/>
      <w:autoSpaceDN w:val="0"/>
      <w:adjustRightInd w:val="0"/>
      <w:spacing w:after="200"/>
    </w:pPr>
    <w:rPr>
      <w:rFonts w:eastAsia="Cambria" w:cs="Times"/>
      <w:color w:val="141413"/>
      <w:sz w:val="18"/>
      <w:szCs w:val="18"/>
      <w:lang w:val="en-US"/>
    </w:rPr>
  </w:style>
  <w:style w:type="character" w:customStyle="1" w:styleId="FootnoteTextChar">
    <w:name w:val="Footnote Text Char"/>
    <w:basedOn w:val="DefaultParagraphFont"/>
    <w:link w:val="FootnoteText"/>
    <w:rsid w:val="000A6F03"/>
    <w:rPr>
      <w:rFonts w:ascii="Calibri" w:eastAsia="Cambria" w:hAnsi="Calibri" w:cs="Times"/>
      <w:color w:val="141413"/>
      <w:sz w:val="18"/>
      <w:szCs w:val="18"/>
    </w:rPr>
  </w:style>
  <w:style w:type="character" w:customStyle="1" w:styleId="Heading1Char">
    <w:name w:val="Heading 1 Char"/>
    <w:basedOn w:val="DefaultParagraphFont"/>
    <w:link w:val="Heading1"/>
    <w:rsid w:val="00433B7D"/>
    <w:rPr>
      <w:rFonts w:ascii="Calibri" w:hAnsi="Calibri" w:cs="Times New Roman"/>
      <w:b/>
      <w:color w:val="1F497D" w:themeColor="text2"/>
      <w:kern w:val="28"/>
      <w:sz w:val="32"/>
      <w:szCs w:val="20"/>
    </w:rPr>
  </w:style>
  <w:style w:type="character" w:customStyle="1" w:styleId="Heading2Char">
    <w:name w:val="Heading 2 Char"/>
    <w:basedOn w:val="DefaultParagraphFont"/>
    <w:link w:val="Heading2"/>
    <w:rsid w:val="003B5C17"/>
    <w:rPr>
      <w:rFonts w:ascii="Calibri" w:hAnsi="Calibri" w:cs="Times New Roman"/>
      <w:color w:val="1F497D" w:themeColor="text2"/>
      <w:kern w:val="28"/>
      <w:sz w:val="28"/>
      <w:szCs w:val="20"/>
      <w:lang w:val="en-GB"/>
    </w:rPr>
  </w:style>
  <w:style w:type="character" w:customStyle="1" w:styleId="Heading3Char">
    <w:name w:val="Heading 3 Char"/>
    <w:basedOn w:val="DefaultParagraphFont"/>
    <w:link w:val="Heading3"/>
    <w:rsid w:val="003F653C"/>
    <w:rPr>
      <w:rFonts w:ascii="Calibri" w:hAnsi="Calibri" w:cs="Times New Roman"/>
      <w:color w:val="1F497D" w:themeColor="text2"/>
      <w:kern w:val="28"/>
      <w:szCs w:val="20"/>
      <w:lang w:val="en-GB"/>
    </w:rPr>
  </w:style>
  <w:style w:type="paragraph" w:customStyle="1" w:styleId="References">
    <w:name w:val="References"/>
    <w:basedOn w:val="Normal"/>
    <w:autoRedefine/>
    <w:rsid w:val="00F4215E"/>
    <w:pPr>
      <w:ind w:left="720" w:hanging="720"/>
    </w:pPr>
  </w:style>
  <w:style w:type="paragraph" w:styleId="EndnoteText">
    <w:name w:val="endnote text"/>
    <w:basedOn w:val="Normal"/>
    <w:link w:val="EndnoteTextChar"/>
    <w:autoRedefine/>
    <w:rsid w:val="00F4215E"/>
    <w:rPr>
      <w:rFonts w:cstheme="minorBidi"/>
      <w:sz w:val="18"/>
      <w:szCs w:val="24"/>
      <w:lang w:val="en-US"/>
    </w:rPr>
  </w:style>
  <w:style w:type="character" w:customStyle="1" w:styleId="EndnoteTextChar">
    <w:name w:val="Endnote Text Char"/>
    <w:basedOn w:val="DefaultParagraphFont"/>
    <w:link w:val="EndnoteText"/>
    <w:rsid w:val="00F4215E"/>
    <w:rPr>
      <w:rFonts w:ascii="Calibri" w:eastAsia="Times New Roman" w:hAnsi="Calibri"/>
      <w:sz w:val="18"/>
      <w:szCs w:val="24"/>
    </w:rPr>
  </w:style>
  <w:style w:type="character" w:styleId="EndnoteReference">
    <w:name w:val="endnote reference"/>
    <w:basedOn w:val="DefaultParagraphFont"/>
    <w:rsid w:val="00F4215E"/>
    <w:rPr>
      <w:rFonts w:ascii="Calibri" w:hAnsi="Calibri"/>
      <w:sz w:val="18"/>
      <w:vertAlign w:val="superscript"/>
    </w:rPr>
  </w:style>
  <w:style w:type="paragraph" w:styleId="ListParagraph">
    <w:name w:val="List Paragraph"/>
    <w:basedOn w:val="Normal"/>
    <w:uiPriority w:val="34"/>
    <w:qFormat/>
    <w:rsid w:val="003B5C17"/>
    <w:pPr>
      <w:ind w:left="720"/>
      <w:contextualSpacing/>
    </w:pPr>
  </w:style>
  <w:style w:type="paragraph" w:styleId="Title">
    <w:name w:val="Title"/>
    <w:basedOn w:val="Normal"/>
    <w:next w:val="Normal"/>
    <w:link w:val="TitleChar"/>
    <w:rsid w:val="002C35D1"/>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2C35D1"/>
    <w:rPr>
      <w:rFonts w:asciiTheme="majorHAnsi" w:eastAsiaTheme="majorEastAsia" w:hAnsiTheme="majorHAnsi" w:cstheme="majorBidi"/>
      <w:color w:val="183A63" w:themeColor="text2" w:themeShade="CC"/>
      <w:spacing w:val="5"/>
      <w:kern w:val="28"/>
      <w:sz w:val="52"/>
      <w:szCs w:val="52"/>
      <w:lang w:val="en-GB"/>
    </w:rPr>
  </w:style>
  <w:style w:type="character" w:styleId="Hyperlink">
    <w:name w:val="Hyperlink"/>
    <w:basedOn w:val="DefaultParagraphFont"/>
    <w:rsid w:val="001D6E4D"/>
    <w:rPr>
      <w:color w:val="0000FF" w:themeColor="hyperlink"/>
      <w:u w:val="single"/>
    </w:rPr>
  </w:style>
  <w:style w:type="paragraph" w:styleId="Footer">
    <w:name w:val="footer"/>
    <w:basedOn w:val="Normal"/>
    <w:link w:val="FooterChar"/>
    <w:rsid w:val="00795672"/>
    <w:pPr>
      <w:tabs>
        <w:tab w:val="center" w:pos="4320"/>
        <w:tab w:val="right" w:pos="8640"/>
      </w:tabs>
    </w:pPr>
  </w:style>
  <w:style w:type="character" w:customStyle="1" w:styleId="FooterChar">
    <w:name w:val="Footer Char"/>
    <w:basedOn w:val="DefaultParagraphFont"/>
    <w:link w:val="Footer"/>
    <w:rsid w:val="00795672"/>
    <w:rPr>
      <w:rFonts w:ascii="Calibri" w:hAnsi="Calibri" w:cs="Times New Roman"/>
      <w:sz w:val="22"/>
      <w:szCs w:val="20"/>
      <w:lang w:val="en-GB"/>
    </w:rPr>
  </w:style>
  <w:style w:type="character" w:styleId="PageNumber">
    <w:name w:val="page number"/>
    <w:basedOn w:val="DefaultParagraphFont"/>
    <w:rsid w:val="00795672"/>
  </w:style>
</w:styles>
</file>

<file path=word/webSettings.xml><?xml version="1.0" encoding="utf-8"?>
<w:webSettings xmlns:r="http://schemas.openxmlformats.org/officeDocument/2006/relationships" xmlns:w="http://schemas.openxmlformats.org/wordprocessingml/2006/main">
  <w:divs>
    <w:div w:id="6606191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obilearn.org/download/results/guidelines.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2.png"/><Relationship Id="rId15" Type="http://schemas.openxmlformats.org/officeDocument/2006/relationships/printerSettings" Target="printerSettings/printerSettings1.bin"/><Relationship Id="rId16" Type="http://schemas.openxmlformats.org/officeDocument/2006/relationships/image" Target="media/image3.png"/><Relationship Id="rId17" Type="http://schemas.openxmlformats.org/officeDocument/2006/relationships/printerSettings" Target="printerSettings/printerSettings2.bin"/><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simshare.org.uk" TargetMode="External"/><Relationship Id="rId7" Type="http://schemas.openxmlformats.org/officeDocument/2006/relationships/hyperlink" Target="http://simplecommunity.org" TargetMode="External"/><Relationship Id="rId8" Type="http://schemas.openxmlformats.org/officeDocument/2006/relationships/hyperlink" Target="mailto:jonathan.bainbridge@northumbria.ac.uk" TargetMode="External"/><Relationship Id="rId9" Type="http://schemas.openxmlformats.org/officeDocument/2006/relationships/hyperlink" Target="mailto:karen.barton@strath.ac.uk" TargetMode="External"/><Relationship Id="rId10" Type="http://schemas.openxmlformats.org/officeDocument/2006/relationships/hyperlink" Target="http://partners.becta.org.uk/upload-%20dir/downloads/page_documents/research/mobile_lear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2124</Words>
  <Characters>12107</Characters>
  <Application>Microsoft Macintosh Word</Application>
  <DocSecurity>0</DocSecurity>
  <Lines>100</Lines>
  <Paragraphs>24</Paragraphs>
  <ScaleCrop>false</ScaleCrop>
  <Company>Northumbria University</Company>
  <LinksUpToDate>false</LinksUpToDate>
  <CharactersWithSpaces>14868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maharg</dc:creator>
  <cp:keywords/>
  <cp:lastModifiedBy>paul maharg</cp:lastModifiedBy>
  <cp:revision>9</cp:revision>
  <dcterms:created xsi:type="dcterms:W3CDTF">2011-04-29T13:53:00Z</dcterms:created>
  <dcterms:modified xsi:type="dcterms:W3CDTF">2011-05-30T14:31:00Z</dcterms:modified>
</cp:coreProperties>
</file>